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We formulate the short-term wind power forecasting task in a multi-modal setting that integrates historical turbine-level SCADA data and grid-based Numerical Weather Prediction (NWP) forecasts. The input features are decomposed into scalar and vector quantities to explicitly distinguish between geometric-agnostic and geometric variables.</w:t>
      </w:r>
      <w:r>
        <w:t xml:space="preserve"> </w:t>
      </w:r>
      <w:r>
        <w:t xml:space="preserve">Let a wind farm consist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turbines. For each turbine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historical time step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, we observe turbine scalar features</w:t>
      </w:r>
      <w:r>
        <w:t xml:space="preserve"> </w:t>
      </w:r>
      <m:oMath>
        <m:sSubSup>
          <m:e>
            <m:r>
              <m:rPr>
                <m:sty m:val="b"/>
              </m:rPr>
              <m:t>h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h</m:t>
                </m:r>
              </m:sub>
            </m:sSub>
          </m:sup>
        </m:sSup>
      </m:oMath>
      <w:r>
        <w:t xml:space="preserve"> </w:t>
      </w:r>
      <w:r>
        <w:t xml:space="preserve">(e.g., wind speed magnitude, power output, operational status) and turbine vector features</w:t>
      </w:r>
      <w:r>
        <w:t xml:space="preserve"> </w:t>
      </w:r>
      <m:oMath>
        <m:sSubSup>
          <m:e>
            <m:r>
              <m:rPr>
                <m:sty m:val="b"/>
              </m:rPr>
              <m:t>q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q</m:t>
                </m:r>
              </m:sub>
            </m:sSub>
          </m:sup>
        </m:sSup>
      </m:oMath>
      <w:r>
        <w:t xml:space="preserve"> </w:t>
      </w:r>
      <w:r>
        <w:t xml:space="preserve">(primarily the 2D wind vector).</w:t>
      </w:r>
      <w:r>
        <w:t xml:space="preserve"> </w:t>
      </w:r>
      <w:r>
        <w:t xml:space="preserve">At the forecast anchor time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L</m:t>
        </m:r>
      </m:oMath>
      <w:r>
        <w:t xml:space="preserve">, the NWP system issues predictions for future lead times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</m:oMath>
      <w:r>
        <w:t xml:space="preserve">. For each</w:t>
      </w:r>
      <w:r>
        <w:t xml:space="preserve"> </w:t>
      </w:r>
      <m:oMath>
        <m:r>
          <m:t>τ</m:t>
        </m:r>
      </m:oMath>
      <w:r>
        <w:t xml:space="preserve">, it provides a gridded forecast over the farm region, including scalar fields</w:t>
      </w:r>
      <w:r>
        <w:t xml:space="preserve"> </w:t>
      </w:r>
      <m:oMath>
        <m:sSubSup>
          <m:e>
            <m:r>
              <m:rPr>
                <m:sty m:val="b"/>
              </m:rP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τ</m:t>
            </m:r>
          </m:sub>
          <m:sup>
            <m:r>
              <m:t>s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sSub>
              <m:e>
                <m:r>
                  <m:t>V</m:t>
                </m:r>
              </m:e>
              <m:sub>
                <m:r>
                  <m:t>s</m:t>
                </m:r>
              </m:sub>
            </m:sSub>
          </m:sup>
        </m:sSup>
      </m:oMath>
      <w:r>
        <w:t xml:space="preserve"> </w:t>
      </w:r>
      <w:r>
        <w:t xml:space="preserve">(e.g., temperature, pressure) and vector fields</w:t>
      </w:r>
      <w:r>
        <w:t xml:space="preserve"> </w:t>
      </w:r>
      <m:oMath>
        <m:sSubSup>
          <m:e>
            <m:r>
              <m:rPr>
                <m:sty m:val="b"/>
              </m:rP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τ</m:t>
            </m:r>
          </m:sub>
          <m:sup>
            <m:r>
              <m:t>v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sSub>
              <m:e>
                <m:r>
                  <m:t>V</m:t>
                </m:r>
              </m:e>
              <m:sub>
                <m:r>
                  <m:t>v</m:t>
                </m:r>
              </m:sub>
            </m:sSub>
          </m:sup>
        </m:sSup>
      </m:oMath>
      <w:r>
        <w:t xml:space="preserve"> </w:t>
      </w:r>
      <w:r>
        <w:t xml:space="preserve">(e.g., zonal and meridional wind components), 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the spatial grid dimensions, and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 numbers of scalar and vector variables, respectively.</w:t>
      </w:r>
      <w:r>
        <w:t xml:space="preserve"> </w:t>
      </w:r>
      <w:r>
        <w:t xml:space="preserve">The objective is to predict the hourly wind power output 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turbines over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hours. Formally, we learn a mapping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y</m:t>
              </m:r>
            </m:e>
            <m:sub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{</m:t>
              </m:r>
              <m:sSup>
                <m:e>
                  <m:r>
                    <m:rPr>
                      <m:sty m:val="b"/>
                    </m:rPr>
                    <m:t>h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"/>
                    </m:rPr>
                    <m:t>q</m:t>
                  </m:r>
                </m:e>
                <m:sup>
                  <m:r>
                    <m:t>t</m:t>
                  </m:r>
                </m:sup>
              </m:sSup>
              <m:sSubSup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</m:sSubSup>
              <m:r>
                <m:rPr>
                  <m:sty m:val="p"/>
                </m:rPr>
                <m:t>;</m:t>
              </m:r>
              <m:r>
                <m:t> </m:t>
              </m:r>
              <m:r>
                <m:rPr>
                  <m:sty m:val="p"/>
                </m:rPr>
                <m:t>{</m:t>
              </m:r>
              <m:sSubSup>
                <m:e>
                  <m:r>
                    <m:rPr>
                      <m:sty m:val="b"/>
                    </m:rPr>
                    <m:t>g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t>τ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"/>
                    </m:rPr>
                    <m:t>g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t>τ</m:t>
                  </m:r>
                </m:sub>
                <m:sup>
                  <m:r>
                    <m:t>v</m:t>
                  </m:r>
                </m:sup>
              </m:sSubSup>
              <m:sSubSup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τ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L</m:t>
            </m:r>
            <m:r>
              <m:rPr>
                <m:sty m:val="p"/>
              </m:rPr>
              <m:t>+</m:t>
            </m:r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T</m:t>
            </m:r>
          </m:sup>
        </m:sSup>
      </m:oMath>
      <w:r>
        <w:t xml:space="preserve"> </w:t>
      </w:r>
      <w:r>
        <w:t xml:space="preserve">denotes the predicted power sequence.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0" w:before="0" w:line="24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</w:rPr>
    <w:pPr>
      <w:spacing w:after="0" w:before="0" w:line="240" w:lineRule="auto"/>
    </w:pPr>
  </w:style>
  <w:style w:styleId="BodyText" w:type="paragraph">
    <w:name w:val="Body Text"/>
    <w:basedOn w:val="Normal"/>
    <w:link w:val="BodyTextChar"/>
    <w:pPr>
      <w:spacing w:after="0" w:before="0" w:line="240" w:lineRule="auto"/>
    </w:pPr>
    <w:qFormat/>
    <w:rPr>
      <w:rFonts w:ascii="Times New Roman" w:cs="Times New Roman" w:eastAsia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</w:rPr>
    <w:pPr>
      <w:spacing w:after="0" w:before="0" w:line="240" w:lineRule="auto"/>
    </w:pPr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Times New Roman" w:cs="Times New Roman" w:eastAsia="Times New Roman" w:hAnsi="Times New Roman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40" w:lineRule="auto"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40" w:lineRule="auto"/>
      <w:jc w:val="center"/>
    </w:pPr>
    <w:rPr>
      <w:sz w:val="30"/>
      <w:szCs w:val="30"/>
      <w:rFonts w:ascii="Times New Roman" w:cs="Times New Roman" w:eastAsia="Times New Roman" w:hAnsi="Times New Roman"/>
    </w:rPr>
  </w:style>
  <w:style w:customStyle="1" w:styleId="Author" w:type="paragraph">
    <w:name w:val="Author"/>
    <w:next w:val="BodyText"/>
    <w:qFormat/>
    <w:pPr>
      <w:keepNext/>
      <w:keepLines/>
      <w:jc w:val="center"/>
      <w:spacing w:after="0" w:before="0" w:line="240" w:lineRule="auto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  <w:spacing w:after="0" w:before="0" w:line="240" w:lineRule="auto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0" w:line="240" w:lineRule="auto"/>
    </w:pPr>
    <w:rPr>
      <w:sz w:val="20"/>
      <w:szCs w:val="20"/>
      <w:b/>
      <w:color w:val="345A8A"/>
      &gt;
      <w:rFonts w:ascii="Times New Roman" w:cs="Times New Roman" w:eastAsia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240" w:lineRule="auto"/>
    </w:pPr>
    <w:rPr>
      <w:sz w:val="20"/>
      <w:szCs w:val="20"/>
      <w:rFonts w:ascii="Times New Roman" w:cs="Times New Roman" w:eastAsia="Times New Roman" w:hAnsi="Times New Roman"/>
    </w:rPr>
  </w:style>
  <w:style w:styleId="Bibliography" w:type="paragraph">
    <w:name w:val="Bibliography"/>
    <w:basedOn w:val="Normal"/>
    <w:next w:val="Bibliography"/>
    <w:qFormat/>
    <w:pPr>
      <w:spacing w:after="0" w:before="0" w:line="240" w:lineRule="auto"/>
    </w:pPr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0" w:line="240" w:lineRule="auto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0" w:line="240" w:lineRule="auto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0" w:line="240" w:lineRule="auto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0" w:line="240" w:lineRule="auto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0" w:line="240" w:lineRule="auto"/>
      <w:outlineLvl w:val="4"/>
    </w:pPr>
    <w:rPr>
      <w:rFonts w:ascii="Times New Roman" w:asciiTheme="majorHAnsi" w:cs="Times New Roman" w:cstheme="majorBidi" w:eastAsia="Times New Roman" w:eastAsiaTheme="majorEastAsia" w:hAnsi="Times New Roman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0" w:line="240" w:lineRule="auto"/>
      <w:outlineLvl w:val="5"/>
    </w:pPr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0" w:line="240" w:lineRule="auto"/>
      <w:outlineLvl w:val="6"/>
    </w:pPr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0" w:line="240" w:lineRule="auto"/>
      <w:outlineLvl w:val="7"/>
    </w:pPr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0" w:line="240" w:lineRule="auto"/>
      <w:outlineLvl w:val="8"/>
    </w:pPr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  <w:pPr>
      <w:spacing w:after="0" w:before="0" w:line="240" w:lineRule="auto"/>
    </w:p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Times New Roman" w:cs="Times New Roman" w:eastAsia="Times New Roma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 w:line="240" w:lineRule="auto"/>
    </w:pPr>
    <w:rPr>
      <w:b/>
      <w:rFonts w:ascii="Times New Roman" w:cs="Times New Roman" w:eastAsia="Times New Roman" w:hAnsi="Times New Roman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  <w:pPr>
      <w:spacing w:after="0" w:before="0" w:line="240" w:lineRule="auto"/>
    </w:pPr>
  </w:style>
  <w:style w:styleId="Caption" w:type="paragraph">
    <w:name w:val="Caption"/>
    <w:basedOn w:val="Normal"/>
    <w:link w:val="BodyTextChar"/>
    <w:pPr>
      <w:spacing w:after="0" w:before="0" w:line="240" w:lineRule="auto"/>
    </w:pPr>
    <w:rPr>
      <w:i/>
      <w:rFonts w:ascii="Times New Roman" w:cs="Times New Roman" w:eastAsia="Times New Roman" w:hAnsi="Times New Roman"/>
    </w:rPr>
  </w:style>
  <w:style w:customStyle="1" w:styleId="TableCaption" w:type="paragraph">
    <w:name w:val="Table Caption"/>
    <w:basedOn w:val="Caption"/>
    <w:pPr>
      <w:keepNext/>
      <w:spacing w:after="0" w:before="0" w:line="240" w:lineRule="auto"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  <w:pPr>
      <w:spacing w:after="0" w:before="0" w:line="240" w:lineRule="auto"/>
    </w:p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  <w:pPr>
      <w:spacing w:after="0" w:before="0" w:line="240" w:lineRule="auto"/>
    </w:pPr>
  </w:style>
  <w:style w:customStyle="1" w:styleId="CaptionedFigure" w:type="paragraph">
    <w:name w:val="Captioned Figure"/>
    <w:basedOn w:val="Figure"/>
    <w:pPr>
      <w:keepNext/>
      <w:spacing w:after="0" w:before="0" w:line="240" w:lineRule="auto"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vertAlign w:val="superscript"/>
      <w:rFonts w:ascii="Times New Roman" w:cs="Times New Roman" w:eastAsia="Times New Roman" w:hAnsi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0" w:line="240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0" w:before="0" w:line="240" w:lineRule="auto"/>
    </w:pPr>
    <w:rPr>
      <w:rFonts w:ascii="Times New Roman" w:cs="Times New Roman" w:eastAsia="Times New Roman" w:hAnsi="Times New Roman"/>
    </w:rPr>
  </w:style>
  <w:style w:customStyle="1" w:styleId="KeywordTok" w:type="character">
    <w:name w:val="KeywordTok"/>
    <w:basedOn w:val="VerbatimChar"/>
    <w:rPr>
      <w:color w:val="007020"/>
      <w:b/>
      <w:rFonts w:ascii="Times New Roman" w:cs="Times New Roman" w:eastAsia="Times New Roman" w:hAnsi="Times New Roman"/>
    </w:rPr>
  </w:style>
  <w:style w:customStyle="1" w:styleId="DataTypeTok" w:type="character">
    <w:name w:val="DataTypeTok"/>
    <w:basedOn w:val="VerbatimChar"/>
    <w:rPr>
      <w:color w:val="902000"/>
      <w:rFonts w:ascii="Times New Roman" w:cs="Times New Roman" w:eastAsia="Times New Roman" w:hAnsi="Times New Roman"/>
    </w:rPr>
  </w:style>
  <w:style w:customStyle="1" w:styleId="DecValTok" w:type="character">
    <w:name w:val="DecValTok"/>
    <w:basedOn w:val="VerbatimChar"/>
    <w:rPr>
      <w:color w:val="40a070"/>
      <w:rFonts w:ascii="Times New Roman" w:cs="Times New Roman" w:eastAsia="Times New Roman" w:hAnsi="Times New Roman"/>
    </w:rPr>
  </w:style>
  <w:style w:customStyle="1" w:styleId="BaseNTok" w:type="character">
    <w:name w:val="BaseNTok"/>
    <w:basedOn w:val="VerbatimChar"/>
    <w:rPr>
      <w:color w:val="40a070"/>
      <w:rFonts w:ascii="Times New Roman" w:cs="Times New Roman" w:eastAsia="Times New Roman" w:hAnsi="Times New Roman"/>
    </w:rPr>
  </w:style>
  <w:style w:customStyle="1" w:styleId="FloatTok" w:type="character">
    <w:name w:val="FloatTok"/>
    <w:basedOn w:val="VerbatimChar"/>
    <w:rPr>
      <w:color w:val="40a070"/>
      <w:rFonts w:ascii="Times New Roman" w:cs="Times New Roman" w:eastAsia="Times New Roman" w:hAnsi="Times New Roman"/>
    </w:rPr>
  </w:style>
  <w:style w:customStyle="1" w:styleId="ConstantTok" w:type="character">
    <w:name w:val="ConstantTok"/>
    <w:basedOn w:val="VerbatimChar"/>
    <w:rPr>
      <w:color w:val="880000"/>
      <w:rFonts w:ascii="Times New Roman" w:cs="Times New Roman" w:eastAsia="Times New Roman" w:hAnsi="Times New Roman"/>
    </w:rPr>
  </w:style>
  <w:style w:customStyle="1" w:styleId="CharTok" w:type="character">
    <w:name w:val="CharTok"/>
    <w:basedOn w:val="VerbatimChar"/>
    <w:rPr>
      <w:color w:val="4070a0"/>
      <w:rFonts w:ascii="Times New Roman" w:cs="Times New Roman" w:eastAsia="Times New Roman" w:hAnsi="Times New Roman"/>
    </w:rPr>
  </w:style>
  <w:style w:customStyle="1" w:styleId="SpecialCharTok" w:type="character">
    <w:name w:val="SpecialCharTok"/>
    <w:basedOn w:val="VerbatimChar"/>
    <w:rPr>
      <w:color w:val="4070a0"/>
      <w:rFonts w:ascii="Times New Roman" w:cs="Times New Roman" w:eastAsia="Times New Roman" w:hAnsi="Times New Roman"/>
    </w:rPr>
  </w:style>
  <w:style w:customStyle="1" w:styleId="StringTok" w:type="character">
    <w:name w:val="StringTok"/>
    <w:basedOn w:val="VerbatimChar"/>
    <w:rPr>
      <w:color w:val="4070a0"/>
      <w:rFonts w:ascii="Times New Roman" w:cs="Times New Roman" w:eastAsia="Times New Roman" w:hAnsi="Times New Roman"/>
    </w:rPr>
  </w:style>
  <w:style w:customStyle="1" w:styleId="VerbatimStringTok" w:type="character">
    <w:name w:val="VerbatimStringTok"/>
    <w:basedOn w:val="VerbatimChar"/>
    <w:rPr>
      <w:color w:val="4070a0"/>
      <w:rFonts w:ascii="Times New Roman" w:cs="Times New Roman" w:eastAsia="Times New Roman" w:hAnsi="Times New Roman"/>
    </w:rPr>
  </w:style>
  <w:style w:customStyle="1" w:styleId="SpecialStringTok" w:type="character">
    <w:name w:val="SpecialStringTok"/>
    <w:basedOn w:val="VerbatimChar"/>
    <w:rPr>
      <w:color w:val="bb6688"/>
      <w:rFonts w:ascii="Times New Roman" w:cs="Times New Roman" w:eastAsia="Times New Roman" w:hAnsi="Times New Roman"/>
    </w:rPr>
  </w:style>
  <w:style w:customStyle="1" w:styleId="ImportTok" w:type="character">
    <w:name w:val="ImportTok"/>
    <w:basedOn w:val="VerbatimChar"/>
    <w:rPr>
      <w:color w:val="008000"/>
      <w:b/>
      <w:rFonts w:ascii="Times New Roman" w:cs="Times New Roman" w:eastAsia="Times New Roman" w:hAnsi="Times New Roman"/>
    </w:rPr>
  </w:style>
  <w:style w:customStyle="1" w:styleId="CommentTok" w:type="character">
    <w:name w:val="CommentTok"/>
    <w:basedOn w:val="VerbatimChar"/>
    <w:rPr>
      <w:color w:val="60a0b0"/>
      <w:i/>
      <w:rFonts w:ascii="Times New Roman" w:cs="Times New Roman" w:eastAsia="Times New Roman" w:hAnsi="Times New Roman"/>
    </w:rPr>
  </w:style>
  <w:style w:customStyle="1" w:styleId="DocumentationTok" w:type="character">
    <w:name w:val="DocumentationTok"/>
    <w:basedOn w:val="VerbatimChar"/>
    <w:rPr>
      <w:color w:val="ba2121"/>
      <w:i/>
      <w:rFonts w:ascii="Times New Roman" w:cs="Times New Roman" w:eastAsia="Times New Roman" w:hAnsi="Times New Roman"/>
    </w:rPr>
  </w:style>
  <w:style w:customStyle="1" w:styleId="AnnotationTok" w:type="character">
    <w:name w:val="AnnotationTok"/>
    <w:basedOn w:val="VerbatimChar"/>
    <w:rPr>
      <w:color w:val="60a0b0"/>
      <w:b/>
      <w:i/>
      <w:rFonts w:ascii="Times New Roman" w:cs="Times New Roman" w:eastAsia="Times New Roman" w:hAnsi="Times New Roman"/>
    </w:rPr>
  </w:style>
  <w:style w:customStyle="1" w:styleId="CommentVarTok" w:type="character">
    <w:name w:val="CommentVarTok"/>
    <w:basedOn w:val="VerbatimChar"/>
    <w:rPr>
      <w:color w:val="60a0b0"/>
      <w:b/>
      <w:i/>
      <w:rFonts w:ascii="Times New Roman" w:cs="Times New Roman" w:eastAsia="Times New Roman" w:hAnsi="Times New Roman"/>
    </w:rPr>
  </w:style>
  <w:style w:customStyle="1" w:styleId="OtherTok" w:type="character">
    <w:name w:val="OtherTok"/>
    <w:basedOn w:val="VerbatimChar"/>
    <w:rPr>
      <w:color w:val="007020"/>
      <w:rFonts w:ascii="Times New Roman" w:cs="Times New Roman" w:eastAsia="Times New Roman" w:hAnsi="Times New Roman"/>
    </w:rPr>
  </w:style>
  <w:style w:customStyle="1" w:styleId="FunctionTok" w:type="character">
    <w:name w:val="FunctionTok"/>
    <w:basedOn w:val="VerbatimChar"/>
    <w:rPr>
      <w:color w:val="06287e"/>
      <w:rFonts w:ascii="Times New Roman" w:cs="Times New Roman" w:eastAsia="Times New Roman" w:hAnsi="Times New Roman"/>
    </w:rPr>
  </w:style>
  <w:style w:customStyle="1" w:styleId="VariableTok" w:type="character">
    <w:name w:val="VariableTok"/>
    <w:basedOn w:val="VerbatimChar"/>
    <w:rPr>
      <w:color w:val="19177c"/>
      <w:rFonts w:ascii="Times New Roman" w:cs="Times New Roman" w:eastAsia="Times New Roman" w:hAnsi="Times New Roman"/>
    </w:rPr>
  </w:style>
  <w:style w:customStyle="1" w:styleId="ControlFlowTok" w:type="character">
    <w:name w:val="ControlFlowTok"/>
    <w:basedOn w:val="VerbatimChar"/>
    <w:rPr>
      <w:color w:val="007020"/>
      <w:b/>
      <w:rFonts w:ascii="Times New Roman" w:cs="Times New Roman" w:eastAsia="Times New Roman" w:hAnsi="Times New Roman"/>
    </w:rPr>
  </w:style>
  <w:style w:customStyle="1" w:styleId="OperatorTok" w:type="character">
    <w:name w:val="OperatorTok"/>
    <w:basedOn w:val="VerbatimChar"/>
    <w:rPr>
      <w:color w:val="666666"/>
      <w:rFonts w:ascii="Times New Roman" w:cs="Times New Roman" w:eastAsia="Times New Roman" w:hAnsi="Times New Roman"/>
    </w:rPr>
  </w:style>
  <w:style w:customStyle="1" w:styleId="BuiltInTok" w:type="character">
    <w:name w:val="BuiltInTok"/>
    <w:basedOn w:val="VerbatimChar"/>
    <w:rPr>
      <w:color w:val="008000"/>
      <w:rFonts w:ascii="Times New Roman" w:cs="Times New Roman" w:eastAsia="Times New Roman" w:hAnsi="Times New Roman"/>
    </w:rPr>
  </w:style>
  <w:style w:customStyle="1" w:styleId="ExtensionTok" w:type="character">
    <w:name w:val="ExtensionTok"/>
    <w:basedOn w:val="VerbatimChar"/>
    <w:rPr>
      <w:rFonts w:ascii="Times New Roman" w:cs="Times New Roman" w:eastAsia="Times New Roman" w:hAnsi="Times New Roman"/>
    </w:rPr>
  </w:style>
  <w:style w:customStyle="1" w:styleId="PreprocessorTok" w:type="character">
    <w:name w:val="PreprocessorTok"/>
    <w:basedOn w:val="VerbatimChar"/>
    <w:rPr>
      <w:color w:val="bc7a00"/>
      <w:rFonts w:ascii="Times New Roman" w:cs="Times New Roman" w:eastAsia="Times New Roman" w:hAnsi="Times New Roman"/>
    </w:rPr>
  </w:style>
  <w:style w:customStyle="1" w:styleId="AttributeTok" w:type="character">
    <w:name w:val="AttributeTok"/>
    <w:basedOn w:val="VerbatimChar"/>
    <w:rPr>
      <w:color w:val="7d9029"/>
      <w:rFonts w:ascii="Times New Roman" w:cs="Times New Roman" w:eastAsia="Times New Roman" w:hAnsi="Times New Roman"/>
    </w:rPr>
  </w:style>
  <w:style w:customStyle="1" w:styleId="RegionMarkerTok" w:type="character">
    <w:name w:val="RegionMarkerTok"/>
    <w:basedOn w:val="VerbatimChar"/>
    <w:rPr>
      <w:rFonts w:ascii="Times New Roman" w:cs="Times New Roman" w:eastAsia="Times New Roman" w:hAnsi="Times New Roman"/>
    </w:rPr>
  </w:style>
  <w:style w:customStyle="1" w:styleId="InformationTok" w:type="character">
    <w:name w:val="InformationTok"/>
    <w:basedOn w:val="VerbatimChar"/>
    <w:rPr>
      <w:color w:val="60a0b0"/>
      <w:b/>
      <w:i/>
      <w:rFonts w:ascii="Times New Roman" w:cs="Times New Roman" w:eastAsia="Times New Roman" w:hAnsi="Times New Roman"/>
    </w:rPr>
  </w:style>
  <w:style w:customStyle="1" w:styleId="WarningTok" w:type="character">
    <w:name w:val="WarningTok"/>
    <w:basedOn w:val="VerbatimChar"/>
    <w:rPr>
      <w:color w:val="60a0b0"/>
      <w:b/>
      <w:i/>
      <w:rFonts w:ascii="Times New Roman" w:cs="Times New Roman" w:eastAsia="Times New Roman" w:hAnsi="Times New Roman"/>
    </w:rPr>
  </w:style>
  <w:style w:customStyle="1" w:styleId="AlertTok" w:type="character">
    <w:name w:val="AlertTok"/>
    <w:basedOn w:val="VerbatimChar"/>
    <w:rPr>
      <w:color w:val="ff0000"/>
      <w:b/>
      <w:rFonts w:ascii="Times New Roman" w:cs="Times New Roman" w:eastAsia="Times New Roman" w:hAnsi="Times New Roman"/>
    </w:rPr>
  </w:style>
  <w:style w:customStyle="1" w:styleId="ErrorTok" w:type="character">
    <w:name w:val="ErrorTok"/>
    <w:basedOn w:val="VerbatimChar"/>
    <w:rPr>
      <w:color w:val="ff0000"/>
      <w:b/>
      <w:rFonts w:ascii="Times New Roman" w:cs="Times New Roman" w:eastAsia="Times New Roman" w:hAnsi="Times New Roman"/>
    </w:rPr>
  </w:style>
  <w:style w:customStyle="1" w:styleId="NormalTok" w:type="character">
    <w:name w:val="NormalTok"/>
    <w:basedOn w:val="VerbatimChar"/>
    <w:rPr>
      <w:rFonts w:ascii="Times New Roman" w:cs="Times New Roman" w:eastAsia="Times New Roman" w:hAnsi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2026-04-13T16:35:38Z</dcterms:created>
  <dcterms:modified xsi:type="dcterms:W3CDTF">2026-04-13T16:35:38Z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