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120"/>
        <w:jc w:val="center"/>
      </w:pPr>
      <w:r>
        <w:rPr>
          <w:rFonts w:ascii="Arial" w:cs="Arial" w:eastAsia="Arial" w:hAnsi="Arial"/>
          <w:b/>
          <w:bCs/>
          <w:color w:val="1F4788"/>
          <w:sz w:val="44"/>
          <w:szCs w:val="44"/>
        </w:rPr>
        <w:t xml:space="preserve">DATA5925  Group 14</w:t>
      </w:r>
    </w:p>
    <w:p>
      <w:pPr>
        <w:spacing w:after="80"/>
        <w:jc w:val="center"/>
      </w:pPr>
      <w:r>
        <w:rPr>
          <w:rFonts w:ascii="Arial" w:cs="Arial" w:eastAsia="Arial" w:hAnsi="Arial"/>
          <w:b/>
          <w:bCs/>
          <w:color w:val="2D3748"/>
          <w:sz w:val="30"/>
          <w:szCs w:val="30"/>
        </w:rPr>
        <w:t xml:space="preserve">Member 3: Global Causal Analysis (Task 3)</w:t>
      </w:r>
    </w:p>
    <w:p>
      <w:pPr>
        <w:spacing w:after="60"/>
        <w:jc w:val="center"/>
      </w:pPr>
      <w:r>
        <w:rPr>
          <w:rFonts w:ascii="Arial" w:cs="Arial" w:eastAsia="Arial" w:hAnsi="Arial"/>
          <w:color w:val="4A5568"/>
          <w:sz w:val="22"/>
          <w:szCs w:val="22"/>
        </w:rPr>
        <w:t xml:space="preserve">Xinyue Zhang  ·  z5546556  ·  July 2026</w:t>
      </w:r>
    </w:p>
    <w:p>
      <w:pPr>
        <w:spacing w:after="200"/>
      </w:pPr>
      <w:r>
        <w:t xml:space="preserve"/>
      </w:r>
    </w:p>
    <w:p>
      <w:pPr>
        <w:shd w:fill="EBF4FF" w:val="clear"/>
        <w:spacing w:after="0" w:before="60"/>
        <w:ind w:left="200" w:right="200"/>
      </w:pPr>
      <w:r>
        <w:rPr>
          <w:rFonts w:ascii="Arial" w:cs="Arial" w:eastAsia="Arial" w:hAnsi="Arial"/>
          <w:color w:val="1A3A5C"/>
          <w:sz w:val="20"/>
          <w:szCs w:val="20"/>
        </w:rPr>
        <w:t xml:space="preserve">Datasets:  final_hourly_flow_allfeature.csv  ·  final_incidents_with_weather.csv  ·  centrality_rankings.csv</w:t>
      </w:r>
    </w:p>
    <w:p>
      <w:pPr>
        <w:shd w:fill="EBF4FF" w:val="clear"/>
        <w:spacing w:after="0" w:before="0"/>
        <w:ind w:left="200" w:right="200"/>
      </w:pPr>
      <w:r>
        <w:rPr>
          <w:rFonts w:ascii="Arial" w:cs="Arial" w:eastAsia="Arial" w:hAnsi="Arial"/>
          <w:color w:val="1A3A5C"/>
          <w:sz w:val="20"/>
          <w:szCs w:val="20"/>
        </w:rPr>
        <w:t xml:space="preserve">Algorithm: Lasso regression (DAG structure learning with L1 regularisation)</w:t>
      </w:r>
    </w:p>
    <w:p>
      <w:pPr>
        <w:shd w:fill="EBF4FF" w:val="clear"/>
        <w:spacing w:after="60" w:before="0"/>
        <w:ind w:left="200" w:right="200"/>
      </w:pPr>
      <w:r>
        <w:rPr>
          <w:rFonts w:ascii="Arial" w:cs="Arial" w:eastAsia="Arial" w:hAnsi="Arial"/>
          <w:color w:val="1A3A5C"/>
          <w:sz w:val="20"/>
          <w:szCs w:val="20"/>
        </w:rPr>
        <w:t xml:space="preserve">Reference: TraffiDent Section 4.4 — Global Causal Analysis (MM-DAG framework)</w:t>
      </w:r>
    </w:p>
    <w:p>
      <w:r>
        <w:br w:type="page"/>
      </w:r>
    </w:p>
    <w:p>
      <w:pPr>
        <w:pStyle w:val="Heading1"/>
        <w:pBdr>
          <w:bottom w:val="single" w:color="1F4788" w:sz="8" w:space="4"/>
        </w:pBdr>
        <w:spacing w:after="160" w:before="300"/>
      </w:pPr>
      <w:r>
        <w:rPr>
          <w:rFonts w:ascii="Arial" w:cs="Arial" w:eastAsia="Arial" w:hAnsi="Arial"/>
          <w:b/>
          <w:bCs/>
          <w:color w:val="1A202C"/>
          <w:sz w:val="30"/>
          <w:szCs w:val="30"/>
        </w:rPr>
        <w:t xml:space="preserve">Global Causal Analysis</w:t>
      </w:r>
    </w:p>
    <w:p>
      <w:pPr>
        <w:spacing w:after="100"/>
      </w:pPr>
      <w:r>
        <w:rPr>
          <w:rFonts w:ascii="Arial" w:cs="Arial" w:eastAsia="Arial" w:hAnsi="Arial"/>
          <w:color w:val="2D3748"/>
          <w:sz w:val="21"/>
          <w:szCs w:val="21"/>
        </w:rPr>
        <w:t xml:space="preserve">(system-level causal structure learning across all 67 NSW benchmark stations)</w:t>
      </w:r>
    </w:p>
    <w:p>
      <w:pPr>
        <w:spacing w:after="60"/>
      </w:pPr>
      <w:r>
        <w:t xml:space="preserve"/>
      </w:r>
    </w:p>
    <w:p>
      <w:pPr>
        <w:pStyle w:val="Heading2"/>
        <w:spacing w:after="80" w:before="200"/>
      </w:pPr>
      <w:r>
        <w:rPr>
          <w:rFonts w:ascii="Arial" w:cs="Arial" w:eastAsia="Arial" w:hAnsi="Arial"/>
          <w:b/>
          <w:bCs/>
          <w:color w:val="1F4788"/>
          <w:sz w:val="24"/>
          <w:szCs w:val="24"/>
        </w:rPr>
        <w:t xml:space="preserve">Pipeline</w:t>
      </w:r>
    </w:p>
    <w:p>
      <w:pPr>
        <w:shd w:fill="F0F4F8" w:val="clear"/>
        <w:spacing w:after="20" w:before="20"/>
        <w:ind w:left="200"/>
      </w:pPr>
      <w:r>
        <w:rPr>
          <w:rFonts w:ascii="Courier New" w:cs="Courier New" w:eastAsia="Courier New" w:hAnsi="Courier New"/>
          <w:color w:val="1A3A5C"/>
          <w:sz w:val="18"/>
          <w:szCs w:val="18"/>
        </w:rPr>
        <w:t xml:space="preserve">Notebook 03</w:t>
      </w:r>
    </w:p>
    <w:p>
      <w:pPr>
        <w:shd w:fill="F0F4F8" w:val="clear"/>
        <w:spacing w:after="20" w:before="20"/>
        <w:ind w:left="200"/>
      </w:pPr>
      <w:r>
        <w:rPr>
          <w:rFonts w:ascii="Courier New" w:cs="Courier New" w:eastAsia="Courier New" w:hAnsi="Courier New"/>
          <w:color w:val="1A3A5C"/>
          <w:sz w:val="18"/>
          <w:szCs w:val="18"/>
        </w:rPr>
        <w:t xml:space="preserve">Raw NSW data</w:t>
      </w:r>
    </w:p>
    <w:p>
      <w:pPr>
        <w:shd w:fill="F0F4F8" w:val="clear"/>
        <w:spacing w:after="20" w:before="20"/>
        <w:ind w:left="200"/>
      </w:pPr>
      <w:r>
        <w:rPr>
          <w:rFonts w:ascii="Courier New" w:cs="Courier New" w:eastAsia="Courier New" w:hAnsi="Courier New"/>
          <w:color w:val="1A3A5C"/>
          <w:sz w:val="18"/>
          <w:szCs w:val="18"/>
        </w:rPr>
        <w:t xml:space="preserve">      │</w:t>
      </w:r>
    </w:p>
    <w:p>
      <w:pPr>
        <w:shd w:fill="F0F4F8" w:val="clear"/>
        <w:spacing w:after="20" w:before="20"/>
        <w:ind w:left="200"/>
      </w:pPr>
      <w:r>
        <w:rPr>
          <w:rFonts w:ascii="Courier New" w:cs="Courier New" w:eastAsia="Courier New" w:hAnsi="Courier New"/>
          <w:color w:val="1A3A5C"/>
          <w:sz w:val="18"/>
          <w:szCs w:val="18"/>
        </w:rPr>
        <w:t xml:space="preserve">      ▼</w:t>
      </w:r>
    </w:p>
    <w:p>
      <w:pPr>
        <w:shd w:fill="F0F4F8" w:val="clear"/>
        <w:spacing w:after="20" w:before="20"/>
        <w:ind w:left="200"/>
      </w:pPr>
      <w:r>
        <w:rPr>
          <w:rFonts w:ascii="Courier New" w:cs="Courier New" w:eastAsia="Courier New" w:hAnsi="Courier New"/>
          <w:color w:val="1A3A5C"/>
          <w:sz w:val="18"/>
          <w:szCs w:val="18"/>
        </w:rPr>
        <w:t xml:space="preserve">Load graph + flow + incident + weather data</w:t>
      </w:r>
    </w:p>
    <w:p>
      <w:pPr>
        <w:shd w:fill="F0F4F8" w:val="clear"/>
        <w:spacing w:after="20" w:before="20"/>
        <w:ind w:left="200"/>
      </w:pPr>
      <w:r>
        <w:rPr>
          <w:rFonts w:ascii="Courier New" w:cs="Courier New" w:eastAsia="Courier New" w:hAnsi="Courier New"/>
          <w:color w:val="1A3A5C"/>
          <w:sz w:val="18"/>
          <w:szCs w:val="18"/>
        </w:rPr>
        <w:t xml:space="preserve">      │</w:t>
      </w:r>
    </w:p>
    <w:p>
      <w:pPr>
        <w:shd w:fill="F0F4F8" w:val="clear"/>
        <w:spacing w:after="20" w:before="20"/>
        <w:ind w:left="200"/>
      </w:pPr>
      <w:r>
        <w:rPr>
          <w:rFonts w:ascii="Courier New" w:cs="Courier New" w:eastAsia="Courier New" w:hAnsi="Courier New"/>
          <w:color w:val="1A3A5C"/>
          <w:sz w:val="18"/>
          <w:szCs w:val="18"/>
        </w:rPr>
        <w:t xml:space="preserve">      ▼</w:t>
      </w:r>
    </w:p>
    <w:p>
      <w:pPr>
        <w:shd w:fill="F0F4F8" w:val="clear"/>
        <w:spacing w:after="20" w:before="20"/>
        <w:ind w:left="200"/>
      </w:pPr>
      <w:r>
        <w:rPr>
          <w:rFonts w:ascii="Courier New" w:cs="Courier New" w:eastAsia="Courier New" w:hAnsi="Courier New"/>
          <w:color w:val="1A3A5C"/>
          <w:sz w:val="18"/>
          <w:szCs w:val="18"/>
        </w:rPr>
        <w:t xml:space="preserve">Aggregate to daily station-level samples</w:t>
      </w:r>
    </w:p>
    <w:p>
      <w:pPr>
        <w:shd w:fill="F0F4F8" w:val="clear"/>
        <w:spacing w:after="20" w:before="20"/>
        <w:ind w:left="200"/>
      </w:pPr>
      <w:r>
        <w:rPr>
          <w:rFonts w:ascii="Courier New" w:cs="Courier New" w:eastAsia="Courier New" w:hAnsi="Courier New"/>
          <w:color w:val="1A3A5C"/>
          <w:sz w:val="18"/>
          <w:szCs w:val="18"/>
        </w:rPr>
        <w:t xml:space="preserve">  - Traffic statistics  (flow, is_major_incident, impact_hours)</w:t>
      </w:r>
    </w:p>
    <w:p>
      <w:pPr>
        <w:shd w:fill="F0F4F8" w:val="clear"/>
        <w:spacing w:after="20" w:before="20"/>
        <w:ind w:left="200"/>
      </w:pPr>
      <w:r>
        <w:rPr>
          <w:rFonts w:ascii="Courier New" w:cs="Courier New" w:eastAsia="Courier New" w:hAnsi="Courier New"/>
          <w:color w:val="1A3A5C"/>
          <w:sz w:val="18"/>
          <w:szCs w:val="18"/>
        </w:rPr>
        <w:t xml:space="preserve">  - Incident variables  (hazard count per type per day)</w:t>
      </w:r>
    </w:p>
    <w:p>
      <w:pPr>
        <w:shd w:fill="F0F4F8" w:val="clear"/>
        <w:spacing w:after="20" w:before="20"/>
        <w:ind w:left="200"/>
      </w:pPr>
      <w:r>
        <w:rPr>
          <w:rFonts w:ascii="Courier New" w:cs="Courier New" w:eastAsia="Courier New" w:hAnsi="Courier New"/>
          <w:color w:val="1A3A5C"/>
          <w:sz w:val="18"/>
          <w:szCs w:val="18"/>
        </w:rPr>
        <w:t xml:space="preserve">  - Meta-feature variables (precipitation, road centrality, time)</w:t>
      </w:r>
    </w:p>
    <w:p>
      <w:pPr>
        <w:shd w:fill="F0F4F8" w:val="clear"/>
        <w:spacing w:after="20" w:before="20"/>
        <w:ind w:left="200"/>
      </w:pPr>
      <w:r>
        <w:rPr>
          <w:rFonts w:ascii="Courier New" w:cs="Courier New" w:eastAsia="Courier New" w:hAnsi="Courier New"/>
          <w:color w:val="1A3A5C"/>
          <w:sz w:val="18"/>
          <w:szCs w:val="18"/>
        </w:rPr>
        <w:t xml:space="preserve">      │</w:t>
      </w:r>
    </w:p>
    <w:p>
      <w:pPr>
        <w:shd w:fill="F0F4F8" w:val="clear"/>
        <w:spacing w:after="20" w:before="20"/>
        <w:ind w:left="200"/>
      </w:pPr>
      <w:r>
        <w:rPr>
          <w:rFonts w:ascii="Courier New" w:cs="Courier New" w:eastAsia="Courier New" w:hAnsi="Courier New"/>
          <w:color w:val="1A3A5C"/>
          <w:sz w:val="18"/>
          <w:szCs w:val="18"/>
        </w:rPr>
        <w:t xml:space="preserve">      ▼</w:t>
      </w:r>
    </w:p>
    <w:p>
      <w:pPr>
        <w:shd w:fill="F0F4F8" w:val="clear"/>
        <w:spacing w:after="20" w:before="20"/>
        <w:ind w:left="200"/>
      </w:pPr>
      <w:r>
        <w:rPr>
          <w:rFonts w:ascii="Courier New" w:cs="Courier New" w:eastAsia="Courier New" w:hAnsi="Courier New"/>
          <w:color w:val="1A3A5C"/>
          <w:sz w:val="18"/>
          <w:szCs w:val="18"/>
        </w:rPr>
        <w:t xml:space="preserve">Save global_X.npy + variable_names.csv</w:t>
      </w:r>
    </w:p>
    <w:p>
      <w:pPr>
        <w:shd w:fill="F0F4F8" w:val="clear"/>
        <w:spacing w:after="20" w:before="20"/>
        <w:ind w:left="200"/>
      </w:pPr>
      <w:r>
        <w:rPr>
          <w:rFonts w:ascii="Courier New" w:cs="Courier New" w:eastAsia="Courier New" w:hAnsi="Courier New"/>
          <w:color w:val="1A3A5C"/>
          <w:sz w:val="18"/>
          <w:szCs w:val="18"/>
        </w:rPr>
        <w:t xml:space="preserve">      ▼</w:t>
      </w:r>
    </w:p>
    <w:p>
      <w:pPr>
        <w:spacing w:after="60"/>
      </w:pPr>
      <w:r>
        <w:t xml:space="preserve"/>
      </w:r>
    </w:p>
    <w:p>
      <w:pPr>
        <w:shd w:fill="F0F4F8" w:val="clear"/>
        <w:spacing w:after="20" w:before="20"/>
        <w:ind w:left="200"/>
      </w:pPr>
      <w:r>
        <w:rPr>
          <w:rFonts w:ascii="Courier New" w:cs="Courier New" w:eastAsia="Courier New" w:hAnsi="Courier New"/>
          <w:color w:val="1A3A5C"/>
          <w:sz w:val="18"/>
          <w:szCs w:val="18"/>
        </w:rPr>
        <w:t xml:space="preserve">Notebook 04</w:t>
      </w:r>
    </w:p>
    <w:p>
      <w:pPr>
        <w:shd w:fill="F0F4F8" w:val="clear"/>
        <w:spacing w:after="20" w:before="20"/>
        <w:ind w:left="200"/>
      </w:pPr>
      <w:r>
        <w:rPr>
          <w:rFonts w:ascii="Courier New" w:cs="Courier New" w:eastAsia="Courier New" w:hAnsi="Courier New"/>
          <w:color w:val="1A3A5C"/>
          <w:sz w:val="18"/>
          <w:szCs w:val="18"/>
        </w:rPr>
        <w:t xml:space="preserve">Load global benchmark files</w:t>
      </w:r>
    </w:p>
    <w:p>
      <w:pPr>
        <w:shd w:fill="F0F4F8" w:val="clear"/>
        <w:spacing w:after="20" w:before="20"/>
        <w:ind w:left="200"/>
      </w:pPr>
      <w:r>
        <w:rPr>
          <w:rFonts w:ascii="Courier New" w:cs="Courier New" w:eastAsia="Courier New" w:hAnsi="Courier New"/>
          <w:color w:val="1A3A5C"/>
          <w:sz w:val="18"/>
          <w:szCs w:val="18"/>
        </w:rPr>
        <w:t xml:space="preserve">      │</w:t>
      </w:r>
    </w:p>
    <w:p>
      <w:pPr>
        <w:shd w:fill="F0F4F8" w:val="clear"/>
        <w:spacing w:after="20" w:before="20"/>
        <w:ind w:left="200"/>
      </w:pPr>
      <w:r>
        <w:rPr>
          <w:rFonts w:ascii="Courier New" w:cs="Courier New" w:eastAsia="Courier New" w:hAnsi="Courier New"/>
          <w:color w:val="1A3A5C"/>
          <w:sz w:val="18"/>
          <w:szCs w:val="18"/>
        </w:rPr>
        <w:t xml:space="preserve">      ▼</w:t>
      </w:r>
    </w:p>
    <w:p>
      <w:pPr>
        <w:shd w:fill="F0F4F8" w:val="clear"/>
        <w:spacing w:after="20" w:before="20"/>
        <w:ind w:left="200"/>
      </w:pPr>
      <w:r>
        <w:rPr>
          <w:rFonts w:ascii="Courier New" w:cs="Courier New" w:eastAsia="Courier New" w:hAnsi="Courier New"/>
          <w:color w:val="1A3A5C"/>
          <w:sz w:val="18"/>
          <w:szCs w:val="18"/>
        </w:rPr>
        <w:t xml:space="preserve">Standardise variables (zero mean, unit variance)</w:t>
      </w:r>
    </w:p>
    <w:p>
      <w:pPr>
        <w:shd w:fill="F0F4F8" w:val="clear"/>
        <w:spacing w:after="20" w:before="20"/>
        <w:ind w:left="200"/>
      </w:pPr>
      <w:r>
        <w:rPr>
          <w:rFonts w:ascii="Courier New" w:cs="Courier New" w:eastAsia="Courier New" w:hAnsi="Courier New"/>
          <w:color w:val="1A3A5C"/>
          <w:sz w:val="18"/>
          <w:szCs w:val="18"/>
        </w:rPr>
        <w:t xml:space="preserve">      │</w:t>
      </w:r>
    </w:p>
    <w:p>
      <w:pPr>
        <w:shd w:fill="F0F4F8" w:val="clear"/>
        <w:spacing w:after="20" w:before="20"/>
        <w:ind w:left="200"/>
      </w:pPr>
      <w:r>
        <w:rPr>
          <w:rFonts w:ascii="Courier New" w:cs="Courier New" w:eastAsia="Courier New" w:hAnsi="Courier New"/>
          <w:color w:val="1A3A5C"/>
          <w:sz w:val="18"/>
          <w:szCs w:val="18"/>
        </w:rPr>
        <w:t xml:space="preserve">      ▼</w:t>
      </w:r>
    </w:p>
    <w:p>
      <w:pPr>
        <w:shd w:fill="F0F4F8" w:val="clear"/>
        <w:spacing w:after="20" w:before="20"/>
        <w:ind w:left="200"/>
      </w:pPr>
      <w:r>
        <w:rPr>
          <w:rFonts w:ascii="Courier New" w:cs="Courier New" w:eastAsia="Courier New" w:hAnsi="Courier New"/>
          <w:color w:val="1A3A5C"/>
          <w:sz w:val="18"/>
          <w:szCs w:val="18"/>
        </w:rPr>
        <w:t xml:space="preserve">Apply DAG constraints</w:t>
      </w:r>
    </w:p>
    <w:p>
      <w:pPr>
        <w:shd w:fill="F0F4F8" w:val="clear"/>
        <w:spacing w:after="20" w:before="20"/>
        <w:ind w:left="200"/>
      </w:pPr>
      <w:r>
        <w:rPr>
          <w:rFonts w:ascii="Courier New" w:cs="Courier New" w:eastAsia="Courier New" w:hAnsi="Courier New"/>
          <w:color w:val="1A3A5C"/>
          <w:sz w:val="18"/>
          <w:szCs w:val="18"/>
        </w:rPr>
        <w:t xml:space="preserve">  - Edges cannot point toward meta-feature variables</w:t>
      </w:r>
    </w:p>
    <w:p>
      <w:pPr>
        <w:shd w:fill="F0F4F8" w:val="clear"/>
        <w:spacing w:after="20" w:before="20"/>
        <w:ind w:left="200"/>
      </w:pPr>
      <w:r>
        <w:rPr>
          <w:rFonts w:ascii="Courier New" w:cs="Courier New" w:eastAsia="Courier New" w:hAnsi="Courier New"/>
          <w:color w:val="1A3A5C"/>
          <w:sz w:val="18"/>
          <w:szCs w:val="18"/>
        </w:rPr>
        <w:t xml:space="preserve">  - Traffic statistics cannot cause other variables</w:t>
      </w:r>
    </w:p>
    <w:p>
      <w:pPr>
        <w:shd w:fill="F0F4F8" w:val="clear"/>
        <w:spacing w:after="20" w:before="20"/>
        <w:ind w:left="200"/>
      </w:pPr>
      <w:r>
        <w:rPr>
          <w:rFonts w:ascii="Courier New" w:cs="Courier New" w:eastAsia="Courier New" w:hAnsi="Courier New"/>
          <w:color w:val="1A3A5C"/>
          <w:sz w:val="18"/>
          <w:szCs w:val="18"/>
        </w:rPr>
        <w:t xml:space="preserve">      │</w:t>
      </w:r>
    </w:p>
    <w:p>
      <w:pPr>
        <w:shd w:fill="F0F4F8" w:val="clear"/>
        <w:spacing w:after="20" w:before="20"/>
        <w:ind w:left="200"/>
      </w:pPr>
      <w:r>
        <w:rPr>
          <w:rFonts w:ascii="Courier New" w:cs="Courier New" w:eastAsia="Courier New" w:hAnsi="Courier New"/>
          <w:color w:val="1A3A5C"/>
          <w:sz w:val="18"/>
          <w:szCs w:val="18"/>
        </w:rPr>
        <w:t xml:space="preserve">      ▼</w:t>
      </w:r>
    </w:p>
    <w:p>
      <w:pPr>
        <w:shd w:fill="F0F4F8" w:val="clear"/>
        <w:spacing w:after="20" w:before="20"/>
        <w:ind w:left="200"/>
      </w:pPr>
      <w:r>
        <w:rPr>
          <w:rFonts w:ascii="Courier New" w:cs="Courier New" w:eastAsia="Courier New" w:hAnsi="Courier New"/>
          <w:color w:val="1A3A5C"/>
          <w:sz w:val="18"/>
          <w:szCs w:val="18"/>
        </w:rPr>
        <w:t xml:space="preserve">Run Lasso regression (causal structure learning)</w:t>
      </w:r>
    </w:p>
    <w:p>
      <w:pPr>
        <w:shd w:fill="F0F4F8" w:val="clear"/>
        <w:spacing w:after="20" w:before="20"/>
        <w:ind w:left="200"/>
      </w:pPr>
      <w:r>
        <w:rPr>
          <w:rFonts w:ascii="Courier New" w:cs="Courier New" w:eastAsia="Courier New" w:hAnsi="Courier New"/>
          <w:color w:val="1A3A5C"/>
          <w:sz w:val="18"/>
          <w:szCs w:val="18"/>
        </w:rPr>
        <w:t xml:space="preserve">      │</w:t>
      </w:r>
    </w:p>
    <w:p>
      <w:pPr>
        <w:shd w:fill="F0F4F8" w:val="clear"/>
        <w:spacing w:after="20" w:before="20"/>
        <w:ind w:left="200"/>
      </w:pPr>
      <w:r>
        <w:rPr>
          <w:rFonts w:ascii="Courier New" w:cs="Courier New" w:eastAsia="Courier New" w:hAnsi="Courier New"/>
          <w:color w:val="1A3A5C"/>
          <w:sz w:val="18"/>
          <w:szCs w:val="18"/>
        </w:rPr>
        <w:t xml:space="preserve">      ▼</w:t>
      </w:r>
    </w:p>
    <w:p>
      <w:pPr>
        <w:shd w:fill="F0F4F8" w:val="clear"/>
        <w:spacing w:after="20" w:before="20"/>
        <w:ind w:left="200"/>
      </w:pPr>
      <w:r>
        <w:rPr>
          <w:rFonts w:ascii="Courier New" w:cs="Courier New" w:eastAsia="Courier New" w:hAnsi="Courier New"/>
          <w:color w:val="1A3A5C"/>
          <w:sz w:val="18"/>
          <w:szCs w:val="18"/>
        </w:rPr>
        <w:t xml:space="preserve">Visualise causal graph + heatmap</w:t>
      </w:r>
    </w:p>
    <w:p>
      <w:pPr>
        <w:shd w:fill="F0F4F8" w:val="clear"/>
        <w:spacing w:after="20" w:before="20"/>
        <w:ind w:left="200"/>
      </w:pPr>
      <w:r>
        <w:rPr>
          <w:rFonts w:ascii="Courier New" w:cs="Courier New" w:eastAsia="Courier New" w:hAnsi="Courier New"/>
          <w:color w:val="1A3A5C"/>
          <w:sz w:val="18"/>
          <w:szCs w:val="18"/>
        </w:rPr>
        <w:t xml:space="preserve">      │</w:t>
      </w:r>
    </w:p>
    <w:p>
      <w:pPr>
        <w:shd w:fill="F0F4F8" w:val="clear"/>
        <w:spacing w:after="20" w:before="20"/>
        <w:ind w:left="200"/>
      </w:pPr>
      <w:r>
        <w:rPr>
          <w:rFonts w:ascii="Courier New" w:cs="Courier New" w:eastAsia="Courier New" w:hAnsi="Courier New"/>
          <w:color w:val="1A3A5C"/>
          <w:sz w:val="18"/>
          <w:szCs w:val="18"/>
        </w:rPr>
        <w:t xml:space="preserve">      ▼</w:t>
      </w:r>
    </w:p>
    <w:p>
      <w:pPr>
        <w:shd w:fill="F0F4F8" w:val="clear"/>
        <w:spacing w:after="20" w:before="20"/>
        <w:ind w:left="200"/>
      </w:pPr>
      <w:r>
        <w:rPr>
          <w:rFonts w:ascii="Courier New" w:cs="Courier New" w:eastAsia="Courier New" w:hAnsi="Courier New"/>
          <w:color w:val="1A3A5C"/>
          <w:sz w:val="18"/>
          <w:szCs w:val="18"/>
        </w:rPr>
        <w:t xml:space="preserve">Export significant causal links</w:t>
      </w:r>
    </w:p>
    <w:p>
      <w:pPr>
        <w:spacing w:after="120"/>
      </w:pPr>
      <w:r>
        <w:t xml:space="preserve"/>
      </w:r>
    </w:p>
    <w:p>
      <w:r>
        <w:br w:type="page"/>
      </w:r>
    </w:p>
    <w:p>
      <w:pPr>
        <w:pStyle w:val="Heading1"/>
        <w:pBdr>
          <w:bottom w:val="single" w:color="1F4788" w:sz="8" w:space="4"/>
        </w:pBdr>
        <w:spacing w:after="160" w:before="300"/>
      </w:pPr>
      <w:r>
        <w:rPr>
          <w:rFonts w:ascii="Arial" w:cs="Arial" w:eastAsia="Arial" w:hAnsi="Arial"/>
          <w:b/>
          <w:bCs/>
          <w:color w:val="1A202C"/>
          <w:sz w:val="30"/>
          <w:szCs w:val="30"/>
        </w:rPr>
        <w:t xml:space="preserve">Variable Matrix</w:t>
      </w:r>
    </w:p>
    <w:p>
      <w:pPr>
        <w:pStyle w:val="Heading2"/>
        <w:spacing w:after="80" w:before="200"/>
      </w:pPr>
      <w:r>
        <w:rPr>
          <w:rFonts w:ascii="Arial" w:cs="Arial" w:eastAsia="Arial" w:hAnsi="Arial"/>
          <w:b/>
          <w:bCs/>
          <w:color w:val="1F4788"/>
          <w:sz w:val="24"/>
          <w:szCs w:val="24"/>
        </w:rPr>
        <w:t xml:space="preserve">Dataset construction</w:t>
      </w:r>
    </w:p>
    <w:p>
      <w:pPr>
        <w:spacing w:after="100"/>
      </w:pPr>
      <w:r>
        <w:rPr>
          <w:rFonts w:ascii="Arial" w:cs="Arial" w:eastAsia="Arial" w:hAnsi="Arial"/>
          <w:color w:val="2D3748"/>
          <w:sz w:val="21"/>
          <w:szCs w:val="21"/>
        </w:rPr>
        <w:t xml:space="preserve">Following TraffiDent Table 7, variables are aggregated to one daily sample per station (N_samples = 67 stations × days with complete data). Each sample contains three categories of variables.</w:t>
      </w:r>
    </w:p>
    <w:p>
      <w:pPr>
        <w:spacing w:after="80"/>
      </w:pPr>
      <w:r>
        <w:t xml:space="preserve"/>
      </w:r>
    </w:p>
    <w:p>
      <w:pPr>
        <w:spacing w:after="60" w:before="160"/>
      </w:pPr>
      <w:r>
        <w:rPr>
          <w:rFonts w:ascii="Arial" w:cs="Arial" w:eastAsia="Arial" w:hAnsi="Arial"/>
          <w:b/>
          <w:bCs/>
          <w:color w:val="2D3748"/>
          <w:sz w:val="22"/>
          <w:szCs w:val="22"/>
        </w:rPr>
        <w:t xml:space="preserve">Meta-feature variables (environmental &amp; structural — cannot be caused by others)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E8F0FE" w:val="clear"/>
          </w:tcPr>
          <w:p>
            <w:pPr>
              <w:spacing w:after="60" w:before="60"/>
            </w:pPr>
            <w:r>
              <w:rPr>
                <w:rFonts w:ascii="Arial" w:cs="Arial" w:eastAsia="Arial" w:hAnsi="Arial"/>
                <w:b/>
                <w:bCs/>
                <w:color w:val="1F4788"/>
                <w:sz w:val="19"/>
                <w:szCs w:val="19"/>
              </w:rPr>
              <w:t xml:space="preserve">Variable</w:t>
            </w:r>
          </w:p>
        </w:tc>
        <w:tc>
          <w:tcPr>
            <w:tcW w:type="dxa" w:w="3000"/>
            <w:shd w:fill="E8F0FE" w:val="clear"/>
          </w:tcPr>
          <w:p>
            <w:pPr>
              <w:spacing w:after="60" w:before="60"/>
            </w:pPr>
            <w:r>
              <w:rPr>
                <w:rFonts w:ascii="Arial" w:cs="Arial" w:eastAsia="Arial" w:hAnsi="Arial"/>
                <w:b/>
                <w:bCs/>
                <w:color w:val="1F4788"/>
                <w:sz w:val="19"/>
                <w:szCs w:val="19"/>
              </w:rPr>
              <w:t xml:space="preserve">Type</w:t>
            </w:r>
          </w:p>
        </w:tc>
        <w:tc>
          <w:tcPr>
            <w:tcW w:type="dxa" w:w="3000"/>
            <w:shd w:fill="E8F0FE" w:val="clear"/>
          </w:tcPr>
          <w:p>
            <w:pPr>
              <w:spacing w:after="60" w:before="60"/>
            </w:pPr>
            <w:r>
              <w:rPr>
                <w:rFonts w:ascii="Arial" w:cs="Arial" w:eastAsia="Arial" w:hAnsi="Arial"/>
                <w:b/>
                <w:bCs/>
                <w:color w:val="1F4788"/>
                <w:sz w:val="19"/>
                <w:szCs w:val="19"/>
              </w:rPr>
              <w:t xml:space="preserve">Description</w:t>
            </w:r>
          </w:p>
        </w:tc>
      </w:tr>
      <w:tr>
        <w:tc>
          <w:tcPr>
            <w:tcW w:type="dxa" w:w="3000"/>
          </w:tcPr>
          <w:p>
            <w:pPr>
              <w:spacing w:after="50" w:before="50"/>
            </w:pPr>
            <w:r>
              <w:rPr>
                <w:rFonts w:ascii="Arial" w:cs="Arial" w:eastAsia="Arial" w:hAnsi="Arial"/>
                <w:color w:val="2D3748"/>
                <w:sz w:val="19"/>
                <w:szCs w:val="19"/>
              </w:rPr>
              <w:t xml:space="preserve">is_weekend</w:t>
            </w:r>
          </w:p>
        </w:tc>
        <w:tc>
          <w:tcPr>
            <w:tcW w:type="dxa" w:w="3000"/>
          </w:tcPr>
          <w:p>
            <w:pPr>
              <w:spacing w:after="50" w:before="50"/>
            </w:pPr>
            <w:r>
              <w:rPr>
                <w:rFonts w:ascii="Arial" w:cs="Arial" w:eastAsia="Arial" w:hAnsi="Arial"/>
                <w:color w:val="2D3748"/>
                <w:sz w:val="19"/>
                <w:szCs w:val="19"/>
              </w:rPr>
              <w:t xml:space="preserve">Binary (0/1)</w:t>
            </w:r>
          </w:p>
        </w:tc>
        <w:tc>
          <w:tcPr>
            <w:tcW w:type="dxa" w:w="3000"/>
          </w:tcPr>
          <w:p>
            <w:pPr>
              <w:spacing w:after="50" w:before="50"/>
            </w:pPr>
            <w:r>
              <w:rPr>
                <w:rFonts w:ascii="Arial" w:cs="Arial" w:eastAsia="Arial" w:hAnsi="Arial"/>
                <w:color w:val="2D3748"/>
                <w:sz w:val="19"/>
                <w:szCs w:val="19"/>
              </w:rPr>
              <w:t xml:space="preserve">1 if the day is Saturday or Sunday, 0 otherwise</w:t>
            </w:r>
          </w:p>
        </w:tc>
      </w:tr>
      <w:tr>
        <w:tc>
          <w:tcPr>
            <w:tcW w:type="dxa" w:w="3000"/>
          </w:tcPr>
          <w:p>
            <w:pPr>
              <w:spacing w:after="50" w:before="50"/>
            </w:pPr>
            <w:r>
              <w:rPr>
                <w:rFonts w:ascii="Arial" w:cs="Arial" w:eastAsia="Arial" w:hAnsi="Arial"/>
                <w:color w:val="2D3748"/>
                <w:sz w:val="19"/>
                <w:szCs w:val="19"/>
              </w:rPr>
              <w:t xml:space="preserve">precipitation_daily</w:t>
            </w:r>
          </w:p>
        </w:tc>
        <w:tc>
          <w:tcPr>
            <w:tcW w:type="dxa" w:w="3000"/>
          </w:tcPr>
          <w:p>
            <w:pPr>
              <w:spacing w:after="50" w:before="50"/>
            </w:pPr>
            <w:r>
              <w:rPr>
                <w:rFonts w:ascii="Arial" w:cs="Arial" w:eastAsia="Arial" w:hAnsi="Arial"/>
                <w:color w:val="2D3748"/>
                <w:sz w:val="19"/>
                <w:szCs w:val="19"/>
              </w:rPr>
              <w:t xml:space="preserve">Float</w:t>
            </w:r>
          </w:p>
        </w:tc>
        <w:tc>
          <w:tcPr>
            <w:tcW w:type="dxa" w:w="3000"/>
          </w:tcPr>
          <w:p>
            <w:pPr>
              <w:spacing w:after="50" w:before="50"/>
            </w:pPr>
            <w:r>
              <w:rPr>
                <w:rFonts w:ascii="Arial" w:cs="Arial" w:eastAsia="Arial" w:hAnsi="Arial"/>
                <w:color w:val="2D3748"/>
                <w:sz w:val="19"/>
                <w:szCs w:val="19"/>
              </w:rPr>
              <w:t xml:space="preserve">Total rainfall for the day in mm (summed from hourly records)</w:t>
            </w:r>
          </w:p>
        </w:tc>
      </w:tr>
      <w:tr>
        <w:tc>
          <w:tcPr>
            <w:tcW w:type="dxa" w:w="3000"/>
          </w:tcPr>
          <w:p>
            <w:pPr>
              <w:spacing w:after="50" w:before="50"/>
            </w:pPr>
            <w:r>
              <w:rPr>
                <w:rFonts w:ascii="Arial" w:cs="Arial" w:eastAsia="Arial" w:hAnsi="Arial"/>
                <w:color w:val="2D3748"/>
                <w:sz w:val="19"/>
                <w:szCs w:val="19"/>
              </w:rPr>
              <w:t xml:space="preserve">degree_cent</w:t>
            </w:r>
          </w:p>
        </w:tc>
        <w:tc>
          <w:tcPr>
            <w:tcW w:type="dxa" w:w="3000"/>
          </w:tcPr>
          <w:p>
            <w:pPr>
              <w:spacing w:after="50" w:before="50"/>
            </w:pPr>
            <w:r>
              <w:rPr>
                <w:rFonts w:ascii="Arial" w:cs="Arial" w:eastAsia="Arial" w:hAnsi="Arial"/>
                <w:color w:val="2D3748"/>
                <w:sz w:val="19"/>
                <w:szCs w:val="19"/>
              </w:rPr>
              <w:t xml:space="preserve">Float</w:t>
            </w:r>
          </w:p>
        </w:tc>
        <w:tc>
          <w:tcPr>
            <w:tcW w:type="dxa" w:w="3000"/>
          </w:tcPr>
          <w:p>
            <w:pPr>
              <w:spacing w:after="50" w:before="50"/>
            </w:pPr>
            <w:r>
              <w:rPr>
                <w:rFonts w:ascii="Arial" w:cs="Arial" w:eastAsia="Arial" w:hAnsi="Arial"/>
                <w:color w:val="2D3748"/>
                <w:sz w:val="19"/>
                <w:szCs w:val="19"/>
              </w:rPr>
              <w:t xml:space="preserve">Degree centrality of the station in the road network graph</w:t>
            </w:r>
          </w:p>
        </w:tc>
      </w:tr>
      <w:tr>
        <w:tc>
          <w:tcPr>
            <w:tcW w:type="dxa" w:w="3000"/>
          </w:tcPr>
          <w:p>
            <w:pPr>
              <w:spacing w:after="50" w:before="50"/>
            </w:pPr>
            <w:r>
              <w:rPr>
                <w:rFonts w:ascii="Arial" w:cs="Arial" w:eastAsia="Arial" w:hAnsi="Arial"/>
                <w:color w:val="2D3748"/>
                <w:sz w:val="19"/>
                <w:szCs w:val="19"/>
              </w:rPr>
              <w:t xml:space="preserve">between_cent</w:t>
            </w:r>
          </w:p>
        </w:tc>
        <w:tc>
          <w:tcPr>
            <w:tcW w:type="dxa" w:w="3000"/>
          </w:tcPr>
          <w:p>
            <w:pPr>
              <w:spacing w:after="50" w:before="50"/>
            </w:pPr>
            <w:r>
              <w:rPr>
                <w:rFonts w:ascii="Arial" w:cs="Arial" w:eastAsia="Arial" w:hAnsi="Arial"/>
                <w:color w:val="2D3748"/>
                <w:sz w:val="19"/>
                <w:szCs w:val="19"/>
              </w:rPr>
              <w:t xml:space="preserve">Float</w:t>
            </w:r>
          </w:p>
        </w:tc>
        <w:tc>
          <w:tcPr>
            <w:tcW w:type="dxa" w:w="3000"/>
          </w:tcPr>
          <w:p>
            <w:pPr>
              <w:spacing w:after="50" w:before="50"/>
            </w:pPr>
            <w:r>
              <w:rPr>
                <w:rFonts w:ascii="Arial" w:cs="Arial" w:eastAsia="Arial" w:hAnsi="Arial"/>
                <w:color w:val="2D3748"/>
                <w:sz w:val="19"/>
                <w:szCs w:val="19"/>
              </w:rPr>
              <w:t xml:space="preserve">Betweenness centrality — how often this station sits on shortest paths</w:t>
            </w:r>
          </w:p>
        </w:tc>
      </w:tr>
      <w:tr>
        <w:tc>
          <w:tcPr>
            <w:tcW w:type="dxa" w:w="3000"/>
          </w:tcPr>
          <w:p>
            <w:pPr>
              <w:spacing w:after="50" w:before="50"/>
            </w:pPr>
            <w:r>
              <w:rPr>
                <w:rFonts w:ascii="Arial" w:cs="Arial" w:eastAsia="Arial" w:hAnsi="Arial"/>
                <w:color w:val="2D3748"/>
                <w:sz w:val="19"/>
                <w:szCs w:val="19"/>
              </w:rPr>
              <w:t xml:space="preserve">close_cent</w:t>
            </w:r>
          </w:p>
        </w:tc>
        <w:tc>
          <w:tcPr>
            <w:tcW w:type="dxa" w:w="3000"/>
          </w:tcPr>
          <w:p>
            <w:pPr>
              <w:spacing w:after="50" w:before="50"/>
            </w:pPr>
            <w:r>
              <w:rPr>
                <w:rFonts w:ascii="Arial" w:cs="Arial" w:eastAsia="Arial" w:hAnsi="Arial"/>
                <w:color w:val="2D3748"/>
                <w:sz w:val="19"/>
                <w:szCs w:val="19"/>
              </w:rPr>
              <w:t xml:space="preserve">Float</w:t>
            </w:r>
          </w:p>
        </w:tc>
        <w:tc>
          <w:tcPr>
            <w:tcW w:type="dxa" w:w="3000"/>
          </w:tcPr>
          <w:p>
            <w:pPr>
              <w:spacing w:after="50" w:before="50"/>
            </w:pPr>
            <w:r>
              <w:rPr>
                <w:rFonts w:ascii="Arial" w:cs="Arial" w:eastAsia="Arial" w:hAnsi="Arial"/>
                <w:color w:val="2D3748"/>
                <w:sz w:val="19"/>
                <w:szCs w:val="19"/>
              </w:rPr>
              <w:t xml:space="preserve">Closeness centrality — how quickly disruption at this station spreads</w:t>
            </w:r>
          </w:p>
        </w:tc>
      </w:tr>
    </w:tbl>
    <w:p>
      <w:pPr>
        <w:spacing w:after="100"/>
      </w:pPr>
      <w:r>
        <w:t xml:space="preserve"/>
      </w:r>
    </w:p>
    <w:p>
      <w:pPr>
        <w:spacing w:after="60" w:before="160"/>
      </w:pPr>
      <w:r>
        <w:rPr>
          <w:rFonts w:ascii="Arial" w:cs="Arial" w:eastAsia="Arial" w:hAnsi="Arial"/>
          <w:b/>
          <w:bCs/>
          <w:color w:val="2D3748"/>
          <w:sz w:val="22"/>
          <w:szCs w:val="22"/>
        </w:rPr>
        <w:t xml:space="preserve">Incident variables (hazard counts per day — can be caused by meta-features)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E8F0FE" w:val="clear"/>
          </w:tcPr>
          <w:p>
            <w:pPr>
              <w:spacing w:after="60" w:before="60"/>
            </w:pPr>
            <w:r>
              <w:rPr>
                <w:rFonts w:ascii="Arial" w:cs="Arial" w:eastAsia="Arial" w:hAnsi="Arial"/>
                <w:b/>
                <w:bCs/>
                <w:color w:val="1F4788"/>
                <w:sz w:val="19"/>
                <w:szCs w:val="19"/>
              </w:rPr>
              <w:t xml:space="preserve">Variable</w:t>
            </w:r>
          </w:p>
        </w:tc>
        <w:tc>
          <w:tcPr>
            <w:tcW w:type="dxa" w:w="3000"/>
            <w:shd w:fill="E8F0FE" w:val="clear"/>
          </w:tcPr>
          <w:p>
            <w:pPr>
              <w:spacing w:after="60" w:before="60"/>
            </w:pPr>
            <w:r>
              <w:rPr>
                <w:rFonts w:ascii="Arial" w:cs="Arial" w:eastAsia="Arial" w:hAnsi="Arial"/>
                <w:b/>
                <w:bCs/>
                <w:color w:val="1F4788"/>
                <w:sz w:val="19"/>
                <w:szCs w:val="19"/>
              </w:rPr>
              <w:t xml:space="preserve">Type</w:t>
            </w:r>
          </w:p>
        </w:tc>
        <w:tc>
          <w:tcPr>
            <w:tcW w:type="dxa" w:w="3000"/>
            <w:shd w:fill="E8F0FE" w:val="clear"/>
          </w:tcPr>
          <w:p>
            <w:pPr>
              <w:spacing w:after="60" w:before="60"/>
            </w:pPr>
            <w:r>
              <w:rPr>
                <w:rFonts w:ascii="Arial" w:cs="Arial" w:eastAsia="Arial" w:hAnsi="Arial"/>
                <w:b/>
                <w:bCs/>
                <w:color w:val="1F4788"/>
                <w:sz w:val="19"/>
                <w:szCs w:val="19"/>
              </w:rPr>
              <w:t xml:space="preserve">Description</w:t>
            </w:r>
          </w:p>
        </w:tc>
      </w:tr>
      <w:tr>
        <w:tc>
          <w:tcPr>
            <w:tcW w:type="dxa" w:w="3000"/>
          </w:tcPr>
          <w:p>
            <w:pPr>
              <w:spacing w:after="50" w:before="50"/>
            </w:pPr>
            <w:r>
              <w:rPr>
                <w:rFonts w:ascii="Arial" w:cs="Arial" w:eastAsia="Arial" w:hAnsi="Arial"/>
                <w:color w:val="2D3748"/>
                <w:sz w:val="19"/>
                <w:szCs w:val="19"/>
              </w:rPr>
              <w:t xml:space="preserve">crash</w:t>
            </w:r>
          </w:p>
        </w:tc>
        <w:tc>
          <w:tcPr>
            <w:tcW w:type="dxa" w:w="3000"/>
          </w:tcPr>
          <w:p>
            <w:pPr>
              <w:spacing w:after="50" w:before="50"/>
            </w:pPr>
            <w:r>
              <w:rPr>
                <w:rFonts w:ascii="Arial" w:cs="Arial" w:eastAsia="Arial" w:hAnsi="Arial"/>
                <w:color w:val="2D3748"/>
                <w:sz w:val="19"/>
                <w:szCs w:val="19"/>
              </w:rPr>
              <w:t xml:space="preserve">Int</w:t>
            </w:r>
          </w:p>
        </w:tc>
        <w:tc>
          <w:tcPr>
            <w:tcW w:type="dxa" w:w="3000"/>
          </w:tcPr>
          <w:p>
            <w:pPr>
              <w:spacing w:after="50" w:before="50"/>
            </w:pPr>
            <w:r>
              <w:rPr>
                <w:rFonts w:ascii="Arial" w:cs="Arial" w:eastAsia="Arial" w:hAnsi="Arial"/>
                <w:color w:val="2D3748"/>
                <w:sz w:val="19"/>
                <w:szCs w:val="19"/>
              </w:rPr>
              <w:t xml:space="preserve">Number of CRASH incidents recorded near this station on this day</w:t>
            </w:r>
          </w:p>
        </w:tc>
      </w:tr>
      <w:tr>
        <w:tc>
          <w:tcPr>
            <w:tcW w:type="dxa" w:w="3000"/>
          </w:tcPr>
          <w:p>
            <w:pPr>
              <w:spacing w:after="50" w:before="50"/>
            </w:pPr>
            <w:r>
              <w:rPr>
                <w:rFonts w:ascii="Arial" w:cs="Arial" w:eastAsia="Arial" w:hAnsi="Arial"/>
                <w:color w:val="2D3748"/>
                <w:sz w:val="19"/>
                <w:szCs w:val="19"/>
              </w:rPr>
              <w:t xml:space="preserve">breakdown</w:t>
            </w:r>
          </w:p>
        </w:tc>
        <w:tc>
          <w:tcPr>
            <w:tcW w:type="dxa" w:w="3000"/>
          </w:tcPr>
          <w:p>
            <w:pPr>
              <w:spacing w:after="50" w:before="50"/>
            </w:pPr>
            <w:r>
              <w:rPr>
                <w:rFonts w:ascii="Arial" w:cs="Arial" w:eastAsia="Arial" w:hAnsi="Arial"/>
                <w:color w:val="2D3748"/>
                <w:sz w:val="19"/>
                <w:szCs w:val="19"/>
              </w:rPr>
              <w:t xml:space="preserve">Int</w:t>
            </w:r>
          </w:p>
        </w:tc>
        <w:tc>
          <w:tcPr>
            <w:tcW w:type="dxa" w:w="3000"/>
          </w:tcPr>
          <w:p>
            <w:pPr>
              <w:spacing w:after="50" w:before="50"/>
            </w:pPr>
            <w:r>
              <w:rPr>
                <w:rFonts w:ascii="Arial" w:cs="Arial" w:eastAsia="Arial" w:hAnsi="Arial"/>
                <w:color w:val="2D3748"/>
                <w:sz w:val="19"/>
                <w:szCs w:val="19"/>
              </w:rPr>
              <w:t xml:space="preserve">Number of BREAKDOWN incidents</w:t>
            </w:r>
          </w:p>
        </w:tc>
      </w:tr>
      <w:tr>
        <w:tc>
          <w:tcPr>
            <w:tcW w:type="dxa" w:w="3000"/>
          </w:tcPr>
          <w:p>
            <w:pPr>
              <w:spacing w:after="50" w:before="50"/>
            </w:pPr>
            <w:r>
              <w:rPr>
                <w:rFonts w:ascii="Arial" w:cs="Arial" w:eastAsia="Arial" w:hAnsi="Arial"/>
                <w:color w:val="2D3748"/>
                <w:sz w:val="19"/>
                <w:szCs w:val="19"/>
              </w:rPr>
              <w:t xml:space="preserve">hazard</w:t>
            </w:r>
          </w:p>
        </w:tc>
        <w:tc>
          <w:tcPr>
            <w:tcW w:type="dxa" w:w="3000"/>
          </w:tcPr>
          <w:p>
            <w:pPr>
              <w:spacing w:after="50" w:before="50"/>
            </w:pPr>
            <w:r>
              <w:rPr>
                <w:rFonts w:ascii="Arial" w:cs="Arial" w:eastAsia="Arial" w:hAnsi="Arial"/>
                <w:color w:val="2D3748"/>
                <w:sz w:val="19"/>
                <w:szCs w:val="19"/>
              </w:rPr>
              <w:t xml:space="preserve">Int</w:t>
            </w:r>
          </w:p>
        </w:tc>
        <w:tc>
          <w:tcPr>
            <w:tcW w:type="dxa" w:w="3000"/>
          </w:tcPr>
          <w:p>
            <w:pPr>
              <w:spacing w:after="50" w:before="50"/>
            </w:pPr>
            <w:r>
              <w:rPr>
                <w:rFonts w:ascii="Arial" w:cs="Arial" w:eastAsia="Arial" w:hAnsi="Arial"/>
                <w:color w:val="2D3748"/>
                <w:sz w:val="19"/>
                <w:szCs w:val="19"/>
              </w:rPr>
              <w:t xml:space="preserve">Number of HAZARD incidents (obstacles, spillage, etc.)</w:t>
            </w:r>
          </w:p>
        </w:tc>
      </w:tr>
      <w:tr>
        <w:tc>
          <w:tcPr>
            <w:tcW w:type="dxa" w:w="3000"/>
          </w:tcPr>
          <w:p>
            <w:pPr>
              <w:spacing w:after="50" w:before="50"/>
            </w:pPr>
            <w:r>
              <w:rPr>
                <w:rFonts w:ascii="Arial" w:cs="Arial" w:eastAsia="Arial" w:hAnsi="Arial"/>
                <w:color w:val="2D3748"/>
                <w:sz w:val="19"/>
                <w:szCs w:val="19"/>
              </w:rPr>
              <w:t xml:space="preserve">scheduled_roadwork</w:t>
            </w:r>
          </w:p>
        </w:tc>
        <w:tc>
          <w:tcPr>
            <w:tcW w:type="dxa" w:w="3000"/>
          </w:tcPr>
          <w:p>
            <w:pPr>
              <w:spacing w:after="50" w:before="50"/>
            </w:pPr>
            <w:r>
              <w:rPr>
                <w:rFonts w:ascii="Arial" w:cs="Arial" w:eastAsia="Arial" w:hAnsi="Arial"/>
                <w:color w:val="2D3748"/>
                <w:sz w:val="19"/>
                <w:szCs w:val="19"/>
              </w:rPr>
              <w:t xml:space="preserve">Int</w:t>
            </w:r>
          </w:p>
        </w:tc>
        <w:tc>
          <w:tcPr>
            <w:tcW w:type="dxa" w:w="3000"/>
          </w:tcPr>
          <w:p>
            <w:pPr>
              <w:spacing w:after="50" w:before="50"/>
            </w:pPr>
            <w:r>
              <w:rPr>
                <w:rFonts w:ascii="Arial" w:cs="Arial" w:eastAsia="Arial" w:hAnsi="Arial"/>
                <w:color w:val="2D3748"/>
                <w:sz w:val="19"/>
                <w:szCs w:val="19"/>
              </w:rPr>
              <w:t xml:space="preserve">Number of SCHEDULED ROADWORK events</w:t>
            </w:r>
          </w:p>
        </w:tc>
      </w:tr>
      <w:tr>
        <w:tc>
          <w:tcPr>
            <w:tcW w:type="dxa" w:w="3000"/>
          </w:tcPr>
          <w:p>
            <w:pPr>
              <w:spacing w:after="50" w:before="50"/>
            </w:pPr>
            <w:r>
              <w:rPr>
                <w:rFonts w:ascii="Arial" w:cs="Arial" w:eastAsia="Arial" w:hAnsi="Arial"/>
                <w:color w:val="2D3748"/>
                <w:sz w:val="19"/>
                <w:szCs w:val="19"/>
              </w:rPr>
              <w:t xml:space="preserve">other types...</w:t>
            </w:r>
          </w:p>
        </w:tc>
        <w:tc>
          <w:tcPr>
            <w:tcW w:type="dxa" w:w="3000"/>
          </w:tcPr>
          <w:p>
            <w:pPr>
              <w:spacing w:after="50" w:before="50"/>
            </w:pPr>
            <w:r>
              <w:rPr>
                <w:rFonts w:ascii="Arial" w:cs="Arial" w:eastAsia="Arial" w:hAnsi="Arial"/>
                <w:color w:val="2D3748"/>
                <w:sz w:val="19"/>
                <w:szCs w:val="19"/>
              </w:rPr>
              <w:t xml:space="preserve">Int</w:t>
            </w:r>
          </w:p>
        </w:tc>
        <w:tc>
          <w:tcPr>
            <w:tcW w:type="dxa" w:w="3000"/>
          </w:tcPr>
          <w:p>
            <w:pPr>
              <w:spacing w:after="50" w:before="50"/>
            </w:pPr>
            <w:r>
              <w:rPr>
                <w:rFonts w:ascii="Arial" w:cs="Arial" w:eastAsia="Arial" w:hAnsi="Arial"/>
                <w:color w:val="2D3748"/>
                <w:sz w:val="19"/>
                <w:szCs w:val="19"/>
              </w:rPr>
              <w:t xml:space="preserve">One column per unique hazard_type in final_incidents_with_weather.csv</w:t>
            </w:r>
          </w:p>
        </w:tc>
      </w:tr>
    </w:tbl>
    <w:p>
      <w:pPr>
        <w:spacing w:after="100"/>
      </w:pPr>
      <w:r>
        <w:t xml:space="preserve"/>
      </w:r>
    </w:p>
    <w:p>
      <w:pPr>
        <w:spacing w:after="60" w:before="160"/>
      </w:pPr>
      <w:r>
        <w:rPr>
          <w:rFonts w:ascii="Arial" w:cs="Arial" w:eastAsia="Arial" w:hAnsi="Arial"/>
          <w:b/>
          <w:bCs/>
          <w:color w:val="2D3748"/>
          <w:sz w:val="22"/>
          <w:szCs w:val="22"/>
        </w:rPr>
        <w:t xml:space="preserve">Traffic statistics (system outcomes — cannot cause other variables)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E8F0FE" w:val="clear"/>
          </w:tcPr>
          <w:p>
            <w:pPr>
              <w:spacing w:after="60" w:before="60"/>
            </w:pPr>
            <w:r>
              <w:rPr>
                <w:rFonts w:ascii="Arial" w:cs="Arial" w:eastAsia="Arial" w:hAnsi="Arial"/>
                <w:b/>
                <w:bCs/>
                <w:color w:val="1F4788"/>
                <w:sz w:val="19"/>
                <w:szCs w:val="19"/>
              </w:rPr>
              <w:t xml:space="preserve">Variable</w:t>
            </w:r>
          </w:p>
        </w:tc>
        <w:tc>
          <w:tcPr>
            <w:tcW w:type="dxa" w:w="3000"/>
            <w:shd w:fill="E8F0FE" w:val="clear"/>
          </w:tcPr>
          <w:p>
            <w:pPr>
              <w:spacing w:after="60" w:before="60"/>
            </w:pPr>
            <w:r>
              <w:rPr>
                <w:rFonts w:ascii="Arial" w:cs="Arial" w:eastAsia="Arial" w:hAnsi="Arial"/>
                <w:b/>
                <w:bCs/>
                <w:color w:val="1F4788"/>
                <w:sz w:val="19"/>
                <w:szCs w:val="19"/>
              </w:rPr>
              <w:t xml:space="preserve">Type</w:t>
            </w:r>
          </w:p>
        </w:tc>
        <w:tc>
          <w:tcPr>
            <w:tcW w:type="dxa" w:w="3000"/>
            <w:shd w:fill="E8F0FE" w:val="clear"/>
          </w:tcPr>
          <w:p>
            <w:pPr>
              <w:spacing w:after="60" w:before="60"/>
            </w:pPr>
            <w:r>
              <w:rPr>
                <w:rFonts w:ascii="Arial" w:cs="Arial" w:eastAsia="Arial" w:hAnsi="Arial"/>
                <w:b/>
                <w:bCs/>
                <w:color w:val="1F4788"/>
                <w:sz w:val="19"/>
                <w:szCs w:val="19"/>
              </w:rPr>
              <w:t xml:space="preserve">Description</w:t>
            </w:r>
          </w:p>
        </w:tc>
      </w:tr>
      <w:tr>
        <w:tc>
          <w:tcPr>
            <w:tcW w:type="dxa" w:w="3000"/>
          </w:tcPr>
          <w:p>
            <w:pPr>
              <w:spacing w:after="50" w:before="50"/>
            </w:pPr>
            <w:r>
              <w:rPr>
                <w:rFonts w:ascii="Arial" w:cs="Arial" w:eastAsia="Arial" w:hAnsi="Arial"/>
                <w:color w:val="2D3748"/>
                <w:sz w:val="19"/>
                <w:szCs w:val="19"/>
              </w:rPr>
              <w:t xml:space="preserve">mean_flow_hourly</w:t>
            </w:r>
          </w:p>
        </w:tc>
        <w:tc>
          <w:tcPr>
            <w:tcW w:type="dxa" w:w="3000"/>
          </w:tcPr>
          <w:p>
            <w:pPr>
              <w:spacing w:after="50" w:before="50"/>
            </w:pPr>
            <w:r>
              <w:rPr>
                <w:rFonts w:ascii="Arial" w:cs="Arial" w:eastAsia="Arial" w:hAnsi="Arial"/>
                <w:color w:val="2D3748"/>
                <w:sz w:val="19"/>
                <w:szCs w:val="19"/>
              </w:rPr>
              <w:t xml:space="preserve">Float</w:t>
            </w:r>
          </w:p>
        </w:tc>
        <w:tc>
          <w:tcPr>
            <w:tcW w:type="dxa" w:w="3000"/>
          </w:tcPr>
          <w:p>
            <w:pPr>
              <w:spacing w:after="50" w:before="50"/>
            </w:pPr>
            <w:r>
              <w:rPr>
                <w:rFonts w:ascii="Arial" w:cs="Arial" w:eastAsia="Arial" w:hAnsi="Arial"/>
                <w:color w:val="2D3748"/>
                <w:sz w:val="19"/>
                <w:szCs w:val="19"/>
              </w:rPr>
              <w:t xml:space="preserve">Average hourly traffic flow across all hours of the day</w:t>
            </w:r>
          </w:p>
        </w:tc>
      </w:tr>
      <w:tr>
        <w:tc>
          <w:tcPr>
            <w:tcW w:type="dxa" w:w="3000"/>
          </w:tcPr>
          <w:p>
            <w:pPr>
              <w:spacing w:after="50" w:before="50"/>
            </w:pPr>
            <w:r>
              <w:rPr>
                <w:rFonts w:ascii="Arial" w:cs="Arial" w:eastAsia="Arial" w:hAnsi="Arial"/>
                <w:color w:val="2D3748"/>
                <w:sz w:val="19"/>
                <w:szCs w:val="19"/>
              </w:rPr>
              <w:t xml:space="preserve">is_major_incident</w:t>
            </w:r>
          </w:p>
        </w:tc>
        <w:tc>
          <w:tcPr>
            <w:tcW w:type="dxa" w:w="3000"/>
          </w:tcPr>
          <w:p>
            <w:pPr>
              <w:spacing w:after="50" w:before="50"/>
            </w:pPr>
            <w:r>
              <w:rPr>
                <w:rFonts w:ascii="Arial" w:cs="Arial" w:eastAsia="Arial" w:hAnsi="Arial"/>
                <w:color w:val="2D3748"/>
                <w:sz w:val="19"/>
                <w:szCs w:val="19"/>
              </w:rPr>
              <w:t xml:space="preserve">Binary (0/1)</w:t>
            </w:r>
          </w:p>
        </w:tc>
        <w:tc>
          <w:tcPr>
            <w:tcW w:type="dxa" w:w="3000"/>
          </w:tcPr>
          <w:p>
            <w:pPr>
              <w:spacing w:after="50" w:before="50"/>
            </w:pPr>
            <w:r>
              <w:rPr>
                <w:rFonts w:ascii="Arial" w:cs="Arial" w:eastAsia="Arial" w:hAnsi="Arial"/>
                <w:color w:val="2D3748"/>
                <w:sz w:val="19"/>
                <w:szCs w:val="19"/>
              </w:rPr>
              <w:t xml:space="preserve">1 if any major incident occurred at this station on this day</w:t>
            </w:r>
          </w:p>
        </w:tc>
      </w:tr>
      <w:tr>
        <w:tc>
          <w:tcPr>
            <w:tcW w:type="dxa" w:w="3000"/>
          </w:tcPr>
          <w:p>
            <w:pPr>
              <w:spacing w:after="50" w:before="50"/>
            </w:pPr>
            <w:r>
              <w:rPr>
                <w:rFonts w:ascii="Arial" w:cs="Arial" w:eastAsia="Arial" w:hAnsi="Arial"/>
                <w:color w:val="2D3748"/>
                <w:sz w:val="19"/>
                <w:szCs w:val="19"/>
              </w:rPr>
              <w:t xml:space="preserve">impact_hours</w:t>
            </w:r>
          </w:p>
        </w:tc>
        <w:tc>
          <w:tcPr>
            <w:tcW w:type="dxa" w:w="3000"/>
          </w:tcPr>
          <w:p>
            <w:pPr>
              <w:spacing w:after="50" w:before="50"/>
            </w:pPr>
            <w:r>
              <w:rPr>
                <w:rFonts w:ascii="Arial" w:cs="Arial" w:eastAsia="Arial" w:hAnsi="Arial"/>
                <w:color w:val="2D3748"/>
                <w:sz w:val="19"/>
                <w:szCs w:val="19"/>
              </w:rPr>
              <w:t xml:space="preserve">Int</w:t>
            </w:r>
          </w:p>
        </w:tc>
        <w:tc>
          <w:tcPr>
            <w:tcW w:type="dxa" w:w="3000"/>
          </w:tcPr>
          <w:p>
            <w:pPr>
              <w:spacing w:after="50" w:before="50"/>
            </w:pPr>
            <w:r>
              <w:rPr>
                <w:rFonts w:ascii="Arial" w:cs="Arial" w:eastAsia="Arial" w:hAnsi="Arial"/>
                <w:color w:val="2D3748"/>
                <w:sz w:val="19"/>
                <w:szCs w:val="19"/>
              </w:rPr>
              <w:t xml:space="preserve">Number of hours in the day with active incident impact (impact_sequence_hour ≥ 0)</w:t>
            </w:r>
          </w:p>
        </w:tc>
      </w:tr>
    </w:tbl>
    <w:p>
      <w:pPr>
        <w:spacing w:after="120"/>
      </w:pPr>
      <w:r>
        <w:t xml:space="preserve"/>
      </w:r>
    </w:p>
    <w:p>
      <w:r>
        <w:br w:type="page"/>
      </w:r>
    </w:p>
    <w:p>
      <w:pPr>
        <w:pStyle w:val="Heading1"/>
        <w:pBdr>
          <w:bottom w:val="single" w:color="1F4788" w:sz="8" w:space="4"/>
        </w:pBdr>
        <w:spacing w:after="160" w:before="300"/>
      </w:pPr>
      <w:r>
        <w:rPr>
          <w:rFonts w:ascii="Arial" w:cs="Arial" w:eastAsia="Arial" w:hAnsi="Arial"/>
          <w:b/>
          <w:bCs/>
          <w:color w:val="1A202C"/>
          <w:sz w:val="30"/>
          <w:szCs w:val="30"/>
        </w:rPr>
        <w:t xml:space="preserve">DAG Constraints</w:t>
      </w:r>
    </w:p>
    <w:p>
      <w:pPr>
        <w:spacing w:after="100"/>
      </w:pPr>
      <w:r>
        <w:rPr>
          <w:rFonts w:ascii="Arial" w:cs="Arial" w:eastAsia="Arial" w:hAnsi="Arial"/>
          <w:color w:val="2D3748"/>
          <w:sz w:val="21"/>
          <w:szCs w:val="21"/>
        </w:rPr>
        <w:t xml:space="preserve">Following TraffiDent Section 4.4, two structural constraints are applied to prevent spurious causal directions:</w:t>
      </w:r>
    </w:p>
    <w:p>
      <w:pPr>
        <w:spacing w:after="60"/>
      </w:pPr>
      <w:r>
        <w:t xml:space="preserve"/>
      </w:r>
    </w:p>
    <w:p>
      <w:pPr>
        <w:spacing w:after="60" w:before="160"/>
      </w:pPr>
      <w:r>
        <w:rPr>
          <w:rFonts w:ascii="Arial" w:cs="Arial" w:eastAsia="Arial" w:hAnsi="Arial"/>
          <w:b/>
          <w:bCs/>
          <w:color w:val="2D3748"/>
          <w:sz w:val="22"/>
          <w:szCs w:val="22"/>
        </w:rPr>
        <w:t xml:space="preserve">Constraint 1 — No edges pointing toward meta-feature variables</w:t>
      </w:r>
    </w:p>
    <w:p>
      <w:pPr>
        <w:spacing w:after="100"/>
      </w:pPr>
      <w:r>
        <w:rPr>
          <w:rFonts w:ascii="Arial" w:cs="Arial" w:eastAsia="Arial" w:hAnsi="Arial"/>
          <w:color w:val="2D3748"/>
          <w:sz w:val="21"/>
          <w:szCs w:val="21"/>
        </w:rPr>
        <w:t xml:space="preserve">Meta-feature variables (is_weekend, precipitation_daily, road centrality) describe environmental and infrastructural contexts. They inherently influence other variables rather than being influenced by them. For example, the day of the week cannot be caused by traffic flow.</w:t>
      </w:r>
    </w:p>
    <w:p>
      <w:pPr>
        <w:spacing w:after="80"/>
      </w:pPr>
      <w:r>
        <w:t xml:space="preserve"/>
      </w:r>
    </w:p>
    <w:p>
      <w:pPr>
        <w:spacing w:after="60" w:before="160"/>
      </w:pPr>
      <w:r>
        <w:rPr>
          <w:rFonts w:ascii="Arial" w:cs="Arial" w:eastAsia="Arial" w:hAnsi="Arial"/>
          <w:b/>
          <w:bCs/>
          <w:color w:val="2D3748"/>
          <w:sz w:val="22"/>
          <w:szCs w:val="22"/>
        </w:rPr>
        <w:t xml:space="preserve">Constraint 2 — Traffic statistics cannot direct edges toward other nodes</w:t>
      </w:r>
    </w:p>
    <w:p>
      <w:pPr>
        <w:spacing w:after="100"/>
      </w:pPr>
      <w:r>
        <w:rPr>
          <w:rFonts w:ascii="Arial" w:cs="Arial" w:eastAsia="Arial" w:hAnsi="Arial"/>
          <w:color w:val="2D3748"/>
          <w:sz w:val="21"/>
          <w:szCs w:val="21"/>
        </w:rPr>
        <w:t xml:space="preserve">Traffic statistics (mean_flow_hourly, is_major_incident, impact_hours) represent outcomes or states of the traffic system. They are influenced by meta-features and incidents, not the other way around.</w:t>
      </w:r>
    </w:p>
    <w:p>
      <w:pPr>
        <w:spacing w:after="80"/>
      </w:pPr>
      <w:r>
        <w:t xml:space="preserve"/>
      </w:r>
    </w:p>
    <w:p>
      <w:pPr>
        <w:spacing w:after="100"/>
      </w:pPr>
      <w:r>
        <w:rPr>
          <w:rFonts w:ascii="Arial" w:cs="Arial" w:eastAsia="Arial" w:hAnsi="Arial"/>
          <w:color w:val="2D3748"/>
          <w:sz w:val="21"/>
          <w:szCs w:val="21"/>
        </w:rPr>
        <w:t xml:space="preserve">These constraints are implemented as tabu_edges — a list of forbidden (source, target) index pairs passed to the Lasso regression loop. The algorithm will not learn weights for these edges regardless of the data.</w:t>
      </w:r>
    </w:p>
    <w:p>
      <w:pPr>
        <w:spacing w:after="120"/>
      </w:pPr>
      <w:r>
        <w:t xml:space="preserve"/>
      </w:r>
    </w:p>
    <w:p>
      <w:r>
        <w:br w:type="page"/>
      </w:r>
    </w:p>
    <w:p>
      <w:pPr>
        <w:pStyle w:val="Heading1"/>
        <w:pBdr>
          <w:bottom w:val="single" w:color="1F4788" w:sz="8" w:space="4"/>
        </w:pBdr>
        <w:spacing w:after="160" w:before="300"/>
      </w:pPr>
      <w:r>
        <w:rPr>
          <w:rFonts w:ascii="Arial" w:cs="Arial" w:eastAsia="Arial" w:hAnsi="Arial"/>
          <w:b/>
          <w:bCs/>
          <w:color w:val="1A202C"/>
          <w:sz w:val="30"/>
          <w:szCs w:val="30"/>
        </w:rPr>
        <w:t xml:space="preserve">Methodology</w:t>
      </w:r>
    </w:p>
    <w:p>
      <w:pPr>
        <w:pStyle w:val="Heading2"/>
        <w:spacing w:after="80" w:before="200"/>
      </w:pPr>
      <w:r>
        <w:rPr>
          <w:rFonts w:ascii="Arial" w:cs="Arial" w:eastAsia="Arial" w:hAnsi="Arial"/>
          <w:b/>
          <w:bCs/>
          <w:color w:val="1F4788"/>
          <w:sz w:val="24"/>
          <w:szCs w:val="24"/>
        </w:rPr>
        <w:t xml:space="preserve">Algorithm: Lasso regression (DAG structure learning)</w:t>
      </w:r>
    </w:p>
    <w:p>
      <w:pPr>
        <w:spacing w:after="100"/>
      </w:pPr>
      <w:r>
        <w:rPr>
          <w:rFonts w:ascii="Arial" w:cs="Arial" w:eastAsia="Arial" w:hAnsi="Arial"/>
          <w:color w:val="2D3748"/>
          <w:sz w:val="21"/>
          <w:szCs w:val="21"/>
        </w:rPr>
        <w:t xml:space="preserve">TraffiDent uses MM-DAG, a score-based causal discovery algorithm that handles multimodal data (scalar + functional). MM-DAG is not publicly available. We use Lasso regression as a practical alternative for single-dataset settings.</w:t>
      </w:r>
    </w:p>
    <w:p>
      <w:pPr>
        <w:spacing w:after="60"/>
      </w:pPr>
      <w:r>
        <w:t xml:space="preserve"/>
      </w:r>
    </w:p>
    <w:p>
      <w:pPr>
        <w:spacing w:after="60" w:before="160"/>
      </w:pPr>
      <w:r>
        <w:rPr>
          <w:rFonts w:ascii="Arial" w:cs="Arial" w:eastAsia="Arial" w:hAnsi="Arial"/>
          <w:b/>
          <w:bCs/>
          <w:color w:val="2D3748"/>
          <w:sz w:val="22"/>
          <w:szCs w:val="22"/>
        </w:rPr>
        <w:t xml:space="preserve">How it works</w:t>
      </w:r>
    </w:p>
    <w:p>
      <w:pPr>
        <w:spacing w:after="100"/>
      </w:pPr>
      <w:r>
        <w:rPr>
          <w:rFonts w:ascii="Arial" w:cs="Arial" w:eastAsia="Arial" w:hAnsi="Arial"/>
          <w:color w:val="2D3748"/>
          <w:sz w:val="21"/>
          <w:szCs w:val="21"/>
        </w:rPr>
        <w:t xml:space="preserve">For each target variable j (excluding meta-features), we regress it on all other eligible predictor variables:</w:t>
      </w:r>
    </w:p>
    <w:p>
      <w:pPr>
        <w:spacing w:after="40"/>
      </w:pPr>
      <w:r>
        <w:t xml:space="preserve"/>
      </w:r>
    </w:p>
    <w:p>
      <w:pPr>
        <w:shd w:fill="F0F4F8" w:val="clear"/>
        <w:spacing w:after="20" w:before="20"/>
        <w:ind w:left="200"/>
      </w:pPr>
      <w:r>
        <w:rPr>
          <w:rFonts w:ascii="Courier New" w:cs="Courier New" w:eastAsia="Courier New" w:hAnsi="Courier New"/>
          <w:color w:val="1A3A5C"/>
          <w:sz w:val="18"/>
          <w:szCs w:val="18"/>
        </w:rPr>
        <w:t xml:space="preserve">variable_j = β₁·variable₁ + β₂·variable₂ + ... + noise</w:t>
      </w:r>
    </w:p>
    <w:p>
      <w:pPr>
        <w:spacing w:after="60"/>
      </w:pPr>
      <w:r>
        <w:t xml:space="preserve"/>
      </w:r>
    </w:p>
    <w:p>
      <w:pPr>
        <w:spacing w:after="100"/>
      </w:pPr>
      <w:r>
        <w:rPr>
          <w:rFonts w:ascii="Arial" w:cs="Arial" w:eastAsia="Arial" w:hAnsi="Arial"/>
          <w:color w:val="2D3748"/>
          <w:sz w:val="21"/>
          <w:szCs w:val="21"/>
        </w:rPr>
        <w:t xml:space="preserve">Lasso (L1 regularisation) automatically shrinks unimportant coefficients to exactly zero, keeping only variables with genuine predictive power. A non-zero coefficient βᵢ → j is interpreted as a causal link from variable i to variable j.</w:t>
      </w:r>
    </w:p>
    <w:p>
      <w:pPr>
        <w:spacing w:after="60"/>
      </w:pPr>
      <w:r>
        <w:t xml:space="preserve"/>
      </w:r>
    </w:p>
    <w:p>
      <w:pPr>
        <w:spacing w:after="100"/>
      </w:pPr>
      <w:r>
        <w:rPr>
          <w:rFonts w:ascii="Arial" w:cs="Arial" w:eastAsia="Arial" w:hAnsi="Arial"/>
          <w:color w:val="2D3748"/>
          <w:sz w:val="21"/>
          <w:szCs w:val="21"/>
        </w:rPr>
        <w:t xml:space="preserve">The result is a weight matrix W where W[i,j] represents the causal strength from variable i to variable j. Positive values indicate that an increase in variable i causes an increase in variable j. Negative values indicate the opposite.</w:t>
      </w:r>
    </w:p>
    <w:p>
      <w:pPr>
        <w:spacing w:after="80"/>
      </w:pPr>
      <w:r>
        <w:t xml:space="preserve"/>
      </w:r>
    </w:p>
    <w:p>
      <w:pPr>
        <w:spacing w:after="60" w:before="160"/>
      </w:pPr>
      <w:r>
        <w:rPr>
          <w:rFonts w:ascii="Arial" w:cs="Arial" w:eastAsia="Arial" w:hAnsi="Arial"/>
          <w:b/>
          <w:bCs/>
          <w:color w:val="2D3748"/>
          <w:sz w:val="22"/>
          <w:szCs w:val="22"/>
        </w:rPr>
        <w:t xml:space="preserve">Standardisation</w:t>
      </w:r>
    </w:p>
    <w:p>
      <w:pPr>
        <w:spacing w:after="100"/>
      </w:pPr>
      <w:r>
        <w:rPr>
          <w:rFonts w:ascii="Arial" w:cs="Arial" w:eastAsia="Arial" w:hAnsi="Arial"/>
          <w:color w:val="2D3748"/>
          <w:sz w:val="21"/>
          <w:szCs w:val="21"/>
        </w:rPr>
        <w:t xml:space="preserve">All variables are standardised to zero mean and unit variance before fitting. This ensures that variables on different scales (e.g. total_flow in thousands vs is_weekend in {0,1}) do not bias the Lasso penalty.</w:t>
      </w:r>
    </w:p>
    <w:p>
      <w:pPr>
        <w:spacing w:after="80"/>
      </w:pPr>
      <w:r>
        <w:t xml:space="preserve"/>
      </w:r>
    </w:p>
    <w:p>
      <w:pPr>
        <w:spacing w:after="60" w:before="160"/>
      </w:pPr>
      <w:r>
        <w:rPr>
          <w:rFonts w:ascii="Arial" w:cs="Arial" w:eastAsia="Arial" w:hAnsi="Arial"/>
          <w:b/>
          <w:bCs/>
          <w:color w:val="2D3748"/>
          <w:sz w:val="22"/>
          <w:szCs w:val="22"/>
        </w:rPr>
        <w:t xml:space="preserve">Comparison with TraffiDent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E8F0FE" w:val="clear"/>
          </w:tcPr>
          <w:p>
            <w:pPr>
              <w:spacing w:after="60" w:before="60"/>
            </w:pPr>
            <w:r>
              <w:rPr>
                <w:rFonts w:ascii="Arial" w:cs="Arial" w:eastAsia="Arial" w:hAnsi="Arial"/>
                <w:b/>
                <w:bCs/>
                <w:color w:val="1F4788"/>
                <w:sz w:val="19"/>
                <w:szCs w:val="19"/>
              </w:rPr>
              <w:t xml:space="preserve">Aspect</w:t>
            </w:r>
          </w:p>
        </w:tc>
        <w:tc>
          <w:tcPr>
            <w:tcW w:type="dxa" w:w="3000"/>
            <w:shd w:fill="E8F0FE" w:val="clear"/>
          </w:tcPr>
          <w:p>
            <w:pPr>
              <w:spacing w:after="60" w:before="60"/>
            </w:pPr>
            <w:r>
              <w:rPr>
                <w:rFonts w:ascii="Arial" w:cs="Arial" w:eastAsia="Arial" w:hAnsi="Arial"/>
                <w:b/>
                <w:bCs/>
                <w:color w:val="1F4788"/>
                <w:sz w:val="19"/>
                <w:szCs w:val="19"/>
              </w:rPr>
              <w:t xml:space="preserve">TraffiDent (MM-DAG)</w:t>
            </w:r>
          </w:p>
        </w:tc>
        <w:tc>
          <w:tcPr>
            <w:tcW w:type="dxa" w:w="3000"/>
            <w:shd w:fill="E8F0FE" w:val="clear"/>
          </w:tcPr>
          <w:p>
            <w:pPr>
              <w:spacing w:after="60" w:before="60"/>
            </w:pPr>
            <w:r>
              <w:rPr>
                <w:rFonts w:ascii="Arial" w:cs="Arial" w:eastAsia="Arial" w:hAnsi="Arial"/>
                <w:b/>
                <w:bCs/>
                <w:color w:val="1F4788"/>
                <w:sz w:val="19"/>
                <w:szCs w:val="19"/>
              </w:rPr>
              <w:t xml:space="preserve">This work (Lasso)</w:t>
            </w:r>
          </w:p>
        </w:tc>
      </w:tr>
      <w:tr>
        <w:tc>
          <w:tcPr>
            <w:tcW w:type="dxa" w:w="3000"/>
          </w:tcPr>
          <w:p>
            <w:pPr>
              <w:spacing w:after="50" w:before="50"/>
            </w:pPr>
            <w:r>
              <w:rPr>
                <w:rFonts w:ascii="Arial" w:cs="Arial" w:eastAsia="Arial" w:hAnsi="Arial"/>
                <w:color w:val="2D3748"/>
                <w:sz w:val="19"/>
                <w:szCs w:val="19"/>
              </w:rPr>
              <w:t xml:space="preserve">Algorithm</w:t>
            </w:r>
          </w:p>
        </w:tc>
        <w:tc>
          <w:tcPr>
            <w:tcW w:type="dxa" w:w="3000"/>
          </w:tcPr>
          <w:p>
            <w:pPr>
              <w:spacing w:after="50" w:before="50"/>
            </w:pPr>
            <w:r>
              <w:rPr>
                <w:rFonts w:ascii="Arial" w:cs="Arial" w:eastAsia="Arial" w:hAnsi="Arial"/>
                <w:color w:val="2D3748"/>
                <w:sz w:val="19"/>
                <w:szCs w:val="19"/>
              </w:rPr>
              <w:t xml:space="preserve">MM-DAG (score-based, multi-modal)</w:t>
            </w:r>
          </w:p>
        </w:tc>
        <w:tc>
          <w:tcPr>
            <w:tcW w:type="dxa" w:w="3000"/>
          </w:tcPr>
          <w:p>
            <w:pPr>
              <w:spacing w:after="50" w:before="50"/>
            </w:pPr>
            <w:r>
              <w:rPr>
                <w:rFonts w:ascii="Arial" w:cs="Arial" w:eastAsia="Arial" w:hAnsi="Arial"/>
                <w:color w:val="2D3748"/>
                <w:sz w:val="19"/>
                <w:szCs w:val="19"/>
              </w:rPr>
              <w:t xml:space="preserve">Lasso regression (L1 regularisation)</w:t>
            </w:r>
          </w:p>
        </w:tc>
      </w:tr>
      <w:tr>
        <w:tc>
          <w:tcPr>
            <w:tcW w:type="dxa" w:w="3000"/>
          </w:tcPr>
          <w:p>
            <w:pPr>
              <w:spacing w:after="50" w:before="50"/>
            </w:pPr>
            <w:r>
              <w:rPr>
                <w:rFonts w:ascii="Arial" w:cs="Arial" w:eastAsia="Arial" w:hAnsi="Arial"/>
                <w:color w:val="2D3748"/>
                <w:sz w:val="19"/>
                <w:szCs w:val="19"/>
              </w:rPr>
              <w:t xml:space="preserve">Data types</w:t>
            </w:r>
          </w:p>
        </w:tc>
        <w:tc>
          <w:tcPr>
            <w:tcW w:type="dxa" w:w="3000"/>
          </w:tcPr>
          <w:p>
            <w:pPr>
              <w:spacing w:after="50" w:before="50"/>
            </w:pPr>
            <w:r>
              <w:rPr>
                <w:rFonts w:ascii="Arial" w:cs="Arial" w:eastAsia="Arial" w:hAnsi="Arial"/>
                <w:color w:val="2D3748"/>
                <w:sz w:val="19"/>
                <w:szCs w:val="19"/>
              </w:rPr>
              <w:t xml:space="preserve">Scalar + functional (time-series)</w:t>
            </w:r>
          </w:p>
        </w:tc>
        <w:tc>
          <w:tcPr>
            <w:tcW w:type="dxa" w:w="3000"/>
          </w:tcPr>
          <w:p>
            <w:pPr>
              <w:spacing w:after="50" w:before="50"/>
            </w:pPr>
            <w:r>
              <w:rPr>
                <w:rFonts w:ascii="Arial" w:cs="Arial" w:eastAsia="Arial" w:hAnsi="Arial"/>
                <w:color w:val="2D3748"/>
                <w:sz w:val="19"/>
                <w:szCs w:val="19"/>
              </w:rPr>
              <w:t xml:space="preserve">Scalar (daily aggregates only)</w:t>
            </w:r>
          </w:p>
        </w:tc>
      </w:tr>
      <w:tr>
        <w:tc>
          <w:tcPr>
            <w:tcW w:type="dxa" w:w="3000"/>
          </w:tcPr>
          <w:p>
            <w:pPr>
              <w:spacing w:after="50" w:before="50"/>
            </w:pPr>
            <w:r>
              <w:rPr>
                <w:rFonts w:ascii="Arial" w:cs="Arial" w:eastAsia="Arial" w:hAnsi="Arial"/>
                <w:color w:val="2D3748"/>
                <w:sz w:val="19"/>
                <w:szCs w:val="19"/>
              </w:rPr>
              <w:t xml:space="preserve">Nodes</w:t>
            </w:r>
          </w:p>
        </w:tc>
        <w:tc>
          <w:tcPr>
            <w:tcW w:type="dxa" w:w="3000"/>
          </w:tcPr>
          <w:p>
            <w:pPr>
              <w:spacing w:after="50" w:before="50"/>
            </w:pPr>
            <w:r>
              <w:rPr>
                <w:rFonts w:ascii="Arial" w:cs="Arial" w:eastAsia="Arial" w:hAnsi="Arial"/>
                <w:color w:val="2D3748"/>
                <w:sz w:val="19"/>
                <w:szCs w:val="19"/>
              </w:rPr>
              <w:t xml:space="preserve">16,972 sensors, 4 districts</w:t>
            </w:r>
          </w:p>
        </w:tc>
        <w:tc>
          <w:tcPr>
            <w:tcW w:type="dxa" w:w="3000"/>
          </w:tcPr>
          <w:p>
            <w:pPr>
              <w:spacing w:after="50" w:before="50"/>
            </w:pPr>
            <w:r>
              <w:rPr>
                <w:rFonts w:ascii="Arial" w:cs="Arial" w:eastAsia="Arial" w:hAnsi="Arial"/>
                <w:color w:val="2D3748"/>
                <w:sz w:val="19"/>
                <w:szCs w:val="19"/>
              </w:rPr>
              <w:t xml:space="preserve">67 NSW stations</w:t>
            </w:r>
          </w:p>
        </w:tc>
      </w:tr>
      <w:tr>
        <w:tc>
          <w:tcPr>
            <w:tcW w:type="dxa" w:w="3000"/>
          </w:tcPr>
          <w:p>
            <w:pPr>
              <w:spacing w:after="50" w:before="50"/>
            </w:pPr>
            <w:r>
              <w:rPr>
                <w:rFonts w:ascii="Arial" w:cs="Arial" w:eastAsia="Arial" w:hAnsi="Arial"/>
                <w:color w:val="2D3748"/>
                <w:sz w:val="19"/>
                <w:szCs w:val="19"/>
              </w:rPr>
              <w:t xml:space="preserve">Time span</w:t>
            </w:r>
          </w:p>
        </w:tc>
        <w:tc>
          <w:tcPr>
            <w:tcW w:type="dxa" w:w="3000"/>
          </w:tcPr>
          <w:p>
            <w:pPr>
              <w:spacing w:after="50" w:before="50"/>
            </w:pPr>
            <w:r>
              <w:rPr>
                <w:rFonts w:ascii="Arial" w:cs="Arial" w:eastAsia="Arial" w:hAnsi="Arial"/>
                <w:color w:val="2D3748"/>
                <w:sz w:val="19"/>
                <w:szCs w:val="19"/>
              </w:rPr>
              <w:t xml:space="preserve">3 years (2022–2024)</w:t>
            </w:r>
          </w:p>
        </w:tc>
        <w:tc>
          <w:tcPr>
            <w:tcW w:type="dxa" w:w="3000"/>
          </w:tcPr>
          <w:p>
            <w:pPr>
              <w:spacing w:after="50" w:before="50"/>
            </w:pPr>
            <w:r>
              <w:rPr>
                <w:rFonts w:ascii="Arial" w:cs="Arial" w:eastAsia="Arial" w:hAnsi="Arial"/>
                <w:color w:val="2D3748"/>
                <w:sz w:val="19"/>
                <w:szCs w:val="19"/>
              </w:rPr>
              <w:t xml:space="preserve">1 year (2025)</w:t>
            </w:r>
          </w:p>
        </w:tc>
      </w:tr>
      <w:tr>
        <w:tc>
          <w:tcPr>
            <w:tcW w:type="dxa" w:w="3000"/>
          </w:tcPr>
          <w:p>
            <w:pPr>
              <w:spacing w:after="50" w:before="50"/>
            </w:pPr>
            <w:r>
              <w:rPr>
                <w:rFonts w:ascii="Arial" w:cs="Arial" w:eastAsia="Arial" w:hAnsi="Arial"/>
                <w:color w:val="2D3748"/>
                <w:sz w:val="19"/>
                <w:szCs w:val="19"/>
              </w:rPr>
              <w:t xml:space="preserve">Variable categories</w:t>
            </w:r>
          </w:p>
        </w:tc>
        <w:tc>
          <w:tcPr>
            <w:tcW w:type="dxa" w:w="3000"/>
          </w:tcPr>
          <w:p>
            <w:pPr>
              <w:spacing w:after="50" w:before="50"/>
            </w:pPr>
            <w:r>
              <w:rPr>
                <w:rFonts w:ascii="Arial" w:cs="Arial" w:eastAsia="Arial" w:hAnsi="Arial"/>
                <w:color w:val="2D3748"/>
                <w:sz w:val="19"/>
                <w:szCs w:val="19"/>
              </w:rPr>
              <w:t xml:space="preserve">3 (meta, incident, traffic)</w:t>
            </w:r>
          </w:p>
        </w:tc>
        <w:tc>
          <w:tcPr>
            <w:tcW w:type="dxa" w:w="3000"/>
          </w:tcPr>
          <w:p>
            <w:pPr>
              <w:spacing w:after="50" w:before="50"/>
            </w:pPr>
            <w:r>
              <w:rPr>
                <w:rFonts w:ascii="Arial" w:cs="Arial" w:eastAsia="Arial" w:hAnsi="Arial"/>
                <w:color w:val="2D3748"/>
                <w:sz w:val="19"/>
                <w:szCs w:val="19"/>
              </w:rPr>
              <w:t xml:space="preserve">3 (same structure)</w:t>
            </w:r>
          </w:p>
        </w:tc>
      </w:tr>
      <w:tr>
        <w:tc>
          <w:tcPr>
            <w:tcW w:type="dxa" w:w="3000"/>
          </w:tcPr>
          <w:p>
            <w:pPr>
              <w:spacing w:after="50" w:before="50"/>
            </w:pPr>
            <w:r>
              <w:rPr>
                <w:rFonts w:ascii="Arial" w:cs="Arial" w:eastAsia="Arial" w:hAnsi="Arial"/>
                <w:color w:val="2D3748"/>
                <w:sz w:val="19"/>
                <w:szCs w:val="19"/>
              </w:rPr>
              <w:t xml:space="preserve">DAG constraints</w:t>
            </w:r>
          </w:p>
        </w:tc>
        <w:tc>
          <w:tcPr>
            <w:tcW w:type="dxa" w:w="3000"/>
          </w:tcPr>
          <w:p>
            <w:pPr>
              <w:spacing w:after="50" w:before="50"/>
            </w:pPr>
            <w:r>
              <w:rPr>
                <w:rFonts w:ascii="Arial" w:cs="Arial" w:eastAsia="Arial" w:hAnsi="Arial"/>
                <w:color w:val="2D3748"/>
                <w:sz w:val="19"/>
                <w:szCs w:val="19"/>
              </w:rPr>
              <w:t xml:space="preserve">Same 2 constraints</w:t>
            </w:r>
          </w:p>
        </w:tc>
        <w:tc>
          <w:tcPr>
            <w:tcW w:type="dxa" w:w="3000"/>
          </w:tcPr>
          <w:p>
            <w:pPr>
              <w:spacing w:after="50" w:before="50"/>
            </w:pPr>
            <w:r>
              <w:rPr>
                <w:rFonts w:ascii="Arial" w:cs="Arial" w:eastAsia="Arial" w:hAnsi="Arial"/>
                <w:color w:val="2D3748"/>
                <w:sz w:val="19"/>
                <w:szCs w:val="19"/>
              </w:rPr>
              <w:t xml:space="preserve">Same 2 constraints</w:t>
            </w:r>
          </w:p>
        </w:tc>
      </w:tr>
      <w:tr>
        <w:tc>
          <w:tcPr>
            <w:tcW w:type="dxa" w:w="3000"/>
          </w:tcPr>
          <w:p>
            <w:pPr>
              <w:spacing w:after="50" w:before="50"/>
            </w:pPr>
            <w:r>
              <w:rPr>
                <w:rFonts w:ascii="Arial" w:cs="Arial" w:eastAsia="Arial" w:hAnsi="Arial"/>
                <w:color w:val="2D3748"/>
                <w:sz w:val="19"/>
                <w:szCs w:val="19"/>
              </w:rPr>
              <w:t xml:space="preserve">Availability</w:t>
            </w:r>
          </w:p>
        </w:tc>
        <w:tc>
          <w:tcPr>
            <w:tcW w:type="dxa" w:w="3000"/>
          </w:tcPr>
          <w:p>
            <w:pPr>
              <w:spacing w:after="50" w:before="50"/>
            </w:pPr>
            <w:r>
              <w:rPr>
                <w:rFonts w:ascii="Arial" w:cs="Arial" w:eastAsia="Arial" w:hAnsi="Arial"/>
                <w:color w:val="2D3748"/>
                <w:sz w:val="19"/>
                <w:szCs w:val="19"/>
              </w:rPr>
              <w:t xml:space="preserve">Not open source</w:t>
            </w:r>
          </w:p>
        </w:tc>
        <w:tc>
          <w:tcPr>
            <w:tcW w:type="dxa" w:w="3000"/>
          </w:tcPr>
          <w:p>
            <w:pPr>
              <w:spacing w:after="50" w:before="50"/>
            </w:pPr>
            <w:r>
              <w:rPr>
                <w:rFonts w:ascii="Arial" w:cs="Arial" w:eastAsia="Arial" w:hAnsi="Arial"/>
                <w:color w:val="2D3748"/>
                <w:sz w:val="19"/>
                <w:szCs w:val="19"/>
              </w:rPr>
              <w:t xml:space="preserve">sklearn LassoCV (open source)</w:t>
            </w:r>
          </w:p>
        </w:tc>
      </w:tr>
    </w:tbl>
    <w:p>
      <w:pPr>
        <w:spacing w:after="120"/>
      </w:pPr>
      <w:r>
        <w:t xml:space="preserve"/>
      </w:r>
    </w:p>
    <w:p>
      <w:r>
        <w:br w:type="page"/>
      </w:r>
    </w:p>
    <w:p>
      <w:pPr>
        <w:pStyle w:val="Heading1"/>
        <w:pBdr>
          <w:bottom w:val="single" w:color="1F4788" w:sz="8" w:space="4"/>
        </w:pBdr>
        <w:spacing w:after="160" w:before="300"/>
      </w:pPr>
      <w:r>
        <w:rPr>
          <w:rFonts w:ascii="Arial" w:cs="Arial" w:eastAsia="Arial" w:hAnsi="Arial"/>
          <w:b/>
          <w:bCs/>
          <w:color w:val="1A202C"/>
          <w:sz w:val="30"/>
          <w:szCs w:val="30"/>
        </w:rPr>
        <w:t xml:space="preserve">Output Files</w:t>
      </w:r>
    </w:p>
    <w:p>
      <w:pPr>
        <w:pStyle w:val="Heading2"/>
        <w:spacing w:after="80" w:before="200"/>
      </w:pPr>
      <w:r>
        <w:rPr>
          <w:rFonts w:ascii="Arial" w:cs="Arial" w:eastAsia="Arial" w:hAnsi="Arial"/>
          <w:b/>
          <w:bCs/>
          <w:color w:val="1F4788"/>
          <w:sz w:val="24"/>
          <w:szCs w:val="24"/>
        </w:rPr>
        <w:t xml:space="preserve">Notebook 03 — data_global_causal/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E8F0FE" w:val="clear"/>
          </w:tcPr>
          <w:p>
            <w:pPr>
              <w:spacing w:after="60" w:before="60"/>
            </w:pPr>
            <w:r>
              <w:rPr>
                <w:rFonts w:ascii="Arial" w:cs="Arial" w:eastAsia="Arial" w:hAnsi="Arial"/>
                <w:b/>
                <w:bCs/>
                <w:color w:val="1F4788"/>
                <w:sz w:val="19"/>
                <w:szCs w:val="19"/>
              </w:rPr>
              <w:t xml:space="preserve">File</w:t>
            </w:r>
          </w:p>
        </w:tc>
        <w:tc>
          <w:tcPr>
            <w:tcW w:type="dxa" w:w="4500"/>
            <w:shd w:fill="E8F0FE" w:val="clear"/>
          </w:tcPr>
          <w:p>
            <w:pPr>
              <w:spacing w:after="60" w:before="60"/>
            </w:pPr>
            <w:r>
              <w:rPr>
                <w:rFonts w:ascii="Arial" w:cs="Arial" w:eastAsia="Arial" w:hAnsi="Arial"/>
                <w:b/>
                <w:bCs/>
                <w:color w:val="1F4788"/>
                <w:sz w:val="19"/>
                <w:szCs w:val="19"/>
              </w:rPr>
              <w:t xml:space="preserve">Description</w:t>
            </w:r>
          </w:p>
        </w:tc>
      </w:tr>
      <w:tr>
        <w:tc>
          <w:tcPr>
            <w:tcW w:type="dxa" w:w="4500"/>
          </w:tcPr>
          <w:p>
            <w:pPr>
              <w:spacing w:after="50" w:before="50"/>
            </w:pPr>
            <w:r>
              <w:rPr>
                <w:rFonts w:ascii="Arial" w:cs="Arial" w:eastAsia="Arial" w:hAnsi="Arial"/>
                <w:color w:val="2D3748"/>
                <w:sz w:val="19"/>
                <w:szCs w:val="19"/>
              </w:rPr>
              <w:t xml:space="preserve">global_X.npy</w:t>
            </w:r>
          </w:p>
        </w:tc>
        <w:tc>
          <w:tcPr>
            <w:tcW w:type="dxa" w:w="4500"/>
          </w:tcPr>
          <w:p>
            <w:pPr>
              <w:spacing w:after="50" w:before="50"/>
            </w:pPr>
            <w:r>
              <w:rPr>
                <w:rFonts w:ascii="Arial" w:cs="Arial" w:eastAsia="Arial" w:hAnsi="Arial"/>
                <w:color w:val="2D3748"/>
                <w:sz w:val="19"/>
                <w:szCs w:val="19"/>
              </w:rPr>
              <w:t xml:space="preserve">Numpy array of shape (N_samples, N_variables) — the direct input to the causal model</w:t>
            </w:r>
          </w:p>
        </w:tc>
      </w:tr>
      <w:tr>
        <w:tc>
          <w:tcPr>
            <w:tcW w:type="dxa" w:w="4500"/>
          </w:tcPr>
          <w:p>
            <w:pPr>
              <w:spacing w:after="50" w:before="50"/>
            </w:pPr>
            <w:r>
              <w:rPr>
                <w:rFonts w:ascii="Arial" w:cs="Arial" w:eastAsia="Arial" w:hAnsi="Arial"/>
                <w:color w:val="2D3748"/>
                <w:sz w:val="19"/>
                <w:szCs w:val="19"/>
              </w:rPr>
              <w:t xml:space="preserve">variable_names.csv</w:t>
            </w:r>
          </w:p>
        </w:tc>
        <w:tc>
          <w:tcPr>
            <w:tcW w:type="dxa" w:w="4500"/>
          </w:tcPr>
          <w:p>
            <w:pPr>
              <w:spacing w:after="50" w:before="50"/>
            </w:pPr>
            <w:r>
              <w:rPr>
                <w:rFonts w:ascii="Arial" w:cs="Arial" w:eastAsia="Arial" w:hAnsi="Arial"/>
                <w:color w:val="2D3748"/>
                <w:sz w:val="19"/>
                <w:szCs w:val="19"/>
              </w:rPr>
              <w:t xml:space="preserve">Two columns: variable name and category (meta / incident / traffic)</w:t>
            </w:r>
          </w:p>
        </w:tc>
      </w:tr>
      <w:tr>
        <w:tc>
          <w:tcPr>
            <w:tcW w:type="dxa" w:w="4500"/>
          </w:tcPr>
          <w:p>
            <w:pPr>
              <w:spacing w:after="50" w:before="50"/>
            </w:pPr>
            <w:r>
              <w:rPr>
                <w:rFonts w:ascii="Arial" w:cs="Arial" w:eastAsia="Arial" w:hAnsi="Arial"/>
                <w:color w:val="2D3748"/>
                <w:sz w:val="19"/>
                <w:szCs w:val="19"/>
              </w:rPr>
              <w:t xml:space="preserve">global_variable_matrix.csv</w:t>
            </w:r>
          </w:p>
        </w:tc>
        <w:tc>
          <w:tcPr>
            <w:tcW w:type="dxa" w:w="4500"/>
          </w:tcPr>
          <w:p>
            <w:pPr>
              <w:spacing w:after="50" w:before="50"/>
            </w:pPr>
            <w:r>
              <w:rPr>
                <w:rFonts w:ascii="Arial" w:cs="Arial" w:eastAsia="Arial" w:hAnsi="Arial"/>
                <w:color w:val="2D3748"/>
                <w:sz w:val="19"/>
                <w:szCs w:val="19"/>
              </w:rPr>
              <w:t xml:space="preserve">Full table with station_id and date columns for reference</w:t>
            </w:r>
          </w:p>
        </w:tc>
      </w:tr>
      <w:tr>
        <w:tc>
          <w:tcPr>
            <w:tcW w:type="dxa" w:w="4500"/>
          </w:tcPr>
          <w:p>
            <w:pPr>
              <w:spacing w:after="50" w:before="50"/>
            </w:pPr>
            <w:r>
              <w:rPr>
                <w:rFonts w:ascii="Arial" w:cs="Arial" w:eastAsia="Arial" w:hAnsi="Arial"/>
                <w:color w:val="2D3748"/>
                <w:sz w:val="19"/>
                <w:szCs w:val="19"/>
              </w:rPr>
              <w:t xml:space="preserve">global_case_summary.json</w:t>
            </w:r>
          </w:p>
        </w:tc>
        <w:tc>
          <w:tcPr>
            <w:tcW w:type="dxa" w:w="4500"/>
          </w:tcPr>
          <w:p>
            <w:pPr>
              <w:spacing w:after="50" w:before="50"/>
            </w:pPr>
            <w:r>
              <w:rPr>
                <w:rFonts w:ascii="Arial" w:cs="Arial" w:eastAsia="Arial" w:hAnsi="Arial"/>
                <w:color w:val="2D3748"/>
                <w:sz w:val="19"/>
                <w:szCs w:val="19"/>
              </w:rPr>
              <w:t xml:space="preserve">Summary statistics: n_stations, n_days, n_samples, n_variables</w:t>
            </w:r>
          </w:p>
        </w:tc>
      </w:tr>
    </w:tbl>
    <w:p>
      <w:pPr>
        <w:spacing w:after="80"/>
      </w:pPr>
      <w:r>
        <w:t xml:space="preserve"/>
      </w:r>
    </w:p>
    <w:p>
      <w:pPr>
        <w:pStyle w:val="Heading2"/>
        <w:spacing w:after="80" w:before="200"/>
      </w:pPr>
      <w:r>
        <w:rPr>
          <w:rFonts w:ascii="Arial" w:cs="Arial" w:eastAsia="Arial" w:hAnsi="Arial"/>
          <w:b/>
          <w:bCs/>
          <w:color w:val="1F4788"/>
          <w:sz w:val="24"/>
          <w:szCs w:val="24"/>
        </w:rPr>
        <w:t xml:space="preserve">Notebook 04 — results/global_causal/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E8F0FE" w:val="clear"/>
          </w:tcPr>
          <w:p>
            <w:pPr>
              <w:spacing w:after="60" w:before="60"/>
            </w:pPr>
            <w:r>
              <w:rPr>
                <w:rFonts w:ascii="Arial" w:cs="Arial" w:eastAsia="Arial" w:hAnsi="Arial"/>
                <w:b/>
                <w:bCs/>
                <w:color w:val="1F4788"/>
                <w:sz w:val="19"/>
                <w:szCs w:val="19"/>
              </w:rPr>
              <w:t xml:space="preserve">File</w:t>
            </w:r>
          </w:p>
        </w:tc>
        <w:tc>
          <w:tcPr>
            <w:tcW w:type="dxa" w:w="4500"/>
            <w:shd w:fill="E8F0FE" w:val="clear"/>
          </w:tcPr>
          <w:p>
            <w:pPr>
              <w:spacing w:after="60" w:before="60"/>
            </w:pPr>
            <w:r>
              <w:rPr>
                <w:rFonts w:ascii="Arial" w:cs="Arial" w:eastAsia="Arial" w:hAnsi="Arial"/>
                <w:b/>
                <w:bCs/>
                <w:color w:val="1F4788"/>
                <w:sz w:val="19"/>
                <w:szCs w:val="19"/>
              </w:rPr>
              <w:t xml:space="preserve">Description</w:t>
            </w:r>
          </w:p>
        </w:tc>
      </w:tr>
      <w:tr>
        <w:tc>
          <w:tcPr>
            <w:tcW w:type="dxa" w:w="4500"/>
          </w:tcPr>
          <w:p>
            <w:pPr>
              <w:spacing w:after="50" w:before="50"/>
            </w:pPr>
            <w:r>
              <w:rPr>
                <w:rFonts w:ascii="Arial" w:cs="Arial" w:eastAsia="Arial" w:hAnsi="Arial"/>
                <w:color w:val="2D3748"/>
                <w:sz w:val="19"/>
                <w:szCs w:val="19"/>
              </w:rPr>
              <w:t xml:space="preserve">global_causal_graph.png</w:t>
            </w:r>
          </w:p>
        </w:tc>
        <w:tc>
          <w:tcPr>
            <w:tcW w:type="dxa" w:w="4500"/>
          </w:tcPr>
          <w:p>
            <w:pPr>
              <w:spacing w:after="50" w:before="50"/>
            </w:pPr>
            <w:r>
              <w:rPr>
                <w:rFonts w:ascii="Arial" w:cs="Arial" w:eastAsia="Arial" w:hAnsi="Arial"/>
                <w:color w:val="2D3748"/>
                <w:sz w:val="19"/>
                <w:szCs w:val="19"/>
              </w:rPr>
              <w:t xml:space="preserve">DAG visualisation: nodes coloured by category, arrows show causal direction and strength</w:t>
            </w:r>
          </w:p>
        </w:tc>
      </w:tr>
      <w:tr>
        <w:tc>
          <w:tcPr>
            <w:tcW w:type="dxa" w:w="4500"/>
          </w:tcPr>
          <w:p>
            <w:pPr>
              <w:spacing w:after="50" w:before="50"/>
            </w:pPr>
            <w:r>
              <w:rPr>
                <w:rFonts w:ascii="Arial" w:cs="Arial" w:eastAsia="Arial" w:hAnsi="Arial"/>
                <w:color w:val="2D3748"/>
                <w:sz w:val="19"/>
                <w:szCs w:val="19"/>
              </w:rPr>
              <w:t xml:space="preserve">global_causal_heatmap.png</w:t>
            </w:r>
          </w:p>
        </w:tc>
        <w:tc>
          <w:tcPr>
            <w:tcW w:type="dxa" w:w="4500"/>
          </w:tcPr>
          <w:p>
            <w:pPr>
              <w:spacing w:after="50" w:before="50"/>
            </w:pPr>
            <w:r>
              <w:rPr>
                <w:rFonts w:ascii="Arial" w:cs="Arial" w:eastAsia="Arial" w:hAnsi="Arial"/>
                <w:color w:val="2D3748"/>
                <w:sz w:val="19"/>
                <w:szCs w:val="19"/>
              </w:rPr>
              <w:t xml:space="preserve">Full W matrix heatmap — red = positive causal effect, blue = negative</w:t>
            </w:r>
          </w:p>
        </w:tc>
      </w:tr>
      <w:tr>
        <w:tc>
          <w:tcPr>
            <w:tcW w:type="dxa" w:w="4500"/>
          </w:tcPr>
          <w:p>
            <w:pPr>
              <w:spacing w:after="50" w:before="50"/>
            </w:pPr>
            <w:r>
              <w:rPr>
                <w:rFonts w:ascii="Arial" w:cs="Arial" w:eastAsia="Arial" w:hAnsi="Arial"/>
                <w:color w:val="2D3748"/>
                <w:sz w:val="19"/>
                <w:szCs w:val="19"/>
              </w:rPr>
              <w:t xml:space="preserve">significant_causal_links.csv</w:t>
            </w:r>
          </w:p>
        </w:tc>
        <w:tc>
          <w:tcPr>
            <w:tcW w:type="dxa" w:w="4500"/>
          </w:tcPr>
          <w:p>
            <w:pPr>
              <w:spacing w:after="50" w:before="50"/>
            </w:pPr>
            <w:r>
              <w:rPr>
                <w:rFonts w:ascii="Arial" w:cs="Arial" w:eastAsia="Arial" w:hAnsi="Arial"/>
                <w:color w:val="2D3748"/>
                <w:sz w:val="19"/>
                <w:szCs w:val="19"/>
              </w:rPr>
              <w:t xml:space="preserve">All edges above the threshold, with source, target, weight, direction, and category pair</w:t>
            </w:r>
          </w:p>
        </w:tc>
      </w:tr>
    </w:tbl>
    <w:p>
      <w:pPr>
        <w:spacing w:after="120"/>
      </w:pPr>
      <w:r>
        <w:t xml:space="preserve"/>
      </w:r>
    </w:p>
    <w:p>
      <w:r>
        <w:br w:type="page"/>
      </w:r>
    </w:p>
    <w:p>
      <w:pPr>
        <w:pStyle w:val="Heading1"/>
        <w:pBdr>
          <w:bottom w:val="single" w:color="1F4788" w:sz="8" w:space="4"/>
        </w:pBdr>
        <w:spacing w:after="160" w:before="300"/>
      </w:pPr>
      <w:r>
        <w:rPr>
          <w:rFonts w:ascii="Arial" w:cs="Arial" w:eastAsia="Arial" w:hAnsi="Arial"/>
          <w:b/>
          <w:bCs/>
          <w:color w:val="1A202C"/>
          <w:sz w:val="30"/>
          <w:szCs w:val="30"/>
        </w:rPr>
        <w:t xml:space="preserve">How to Read the Results</w:t>
      </w:r>
    </w:p>
    <w:p>
      <w:pPr>
        <w:pStyle w:val="Heading2"/>
        <w:spacing w:after="80" w:before="200"/>
      </w:pPr>
      <w:r>
        <w:rPr>
          <w:rFonts w:ascii="Arial" w:cs="Arial" w:eastAsia="Arial" w:hAnsi="Arial"/>
          <w:b/>
          <w:bCs/>
          <w:color w:val="1F4788"/>
          <w:sz w:val="24"/>
          <w:szCs w:val="24"/>
        </w:rPr>
        <w:t xml:space="preserve">Causal graph</w:t>
      </w:r>
    </w:p>
    <w:p>
      <w:pPr>
        <w:spacing w:after="80"/>
        <w:ind w:left="360"/>
      </w:pPr>
      <w:r>
        <w:rPr>
          <w:rFonts w:ascii="Arial" w:cs="Arial" w:eastAsia="Arial" w:hAnsi="Arial"/>
          <w:color w:val="1F4788"/>
          <w:sz w:val="21"/>
          <w:szCs w:val="21"/>
        </w:rPr>
        <w:t xml:space="preserve">• </w:t>
      </w:r>
      <w:r>
        <w:rPr>
          <w:rFonts w:ascii="Arial" w:cs="Arial" w:eastAsia="Arial" w:hAnsi="Arial"/>
          <w:color w:val="2D3748"/>
          <w:sz w:val="21"/>
          <w:szCs w:val="21"/>
        </w:rPr>
        <w:t xml:space="preserve">Blue nodes = meta-feature variables (environmental / structural)</w:t>
      </w:r>
    </w:p>
    <w:p>
      <w:pPr>
        <w:spacing w:after="80"/>
        <w:ind w:left="360"/>
      </w:pPr>
      <w:r>
        <w:rPr>
          <w:rFonts w:ascii="Arial" w:cs="Arial" w:eastAsia="Arial" w:hAnsi="Arial"/>
          <w:color w:val="1F4788"/>
          <w:sz w:val="21"/>
          <w:szCs w:val="21"/>
        </w:rPr>
        <w:t xml:space="preserve">• </w:t>
      </w:r>
      <w:r>
        <w:rPr>
          <w:rFonts w:ascii="Arial" w:cs="Arial" w:eastAsia="Arial" w:hAnsi="Arial"/>
          <w:color w:val="2D3748"/>
          <w:sz w:val="21"/>
          <w:szCs w:val="21"/>
        </w:rPr>
        <w:t xml:space="preserve">Orange nodes = incident variables (hazard type counts)</w:t>
      </w:r>
    </w:p>
    <w:p>
      <w:pPr>
        <w:spacing w:after="80"/>
        <w:ind w:left="360"/>
      </w:pPr>
      <w:r>
        <w:rPr>
          <w:rFonts w:ascii="Arial" w:cs="Arial" w:eastAsia="Arial" w:hAnsi="Arial"/>
          <w:color w:val="1F4788"/>
          <w:sz w:val="21"/>
          <w:szCs w:val="21"/>
        </w:rPr>
        <w:t xml:space="preserve">• </w:t>
      </w:r>
      <w:r>
        <w:rPr>
          <w:rFonts w:ascii="Arial" w:cs="Arial" w:eastAsia="Arial" w:hAnsi="Arial"/>
          <w:color w:val="2D3748"/>
          <w:sz w:val="21"/>
          <w:szCs w:val="21"/>
        </w:rPr>
        <w:t xml:space="preserve">Green nodes = traffic statistics (flow outcomes)</w:t>
      </w:r>
    </w:p>
    <w:p>
      <w:pPr>
        <w:spacing w:after="80"/>
        <w:ind w:left="360"/>
      </w:pPr>
      <w:r>
        <w:rPr>
          <w:rFonts w:ascii="Arial" w:cs="Arial" w:eastAsia="Arial" w:hAnsi="Arial"/>
          <w:color w:val="1F4788"/>
          <w:sz w:val="21"/>
          <w:szCs w:val="21"/>
        </w:rPr>
        <w:t xml:space="preserve">• </w:t>
      </w:r>
      <w:r>
        <w:rPr>
          <w:rFonts w:ascii="Arial" w:cs="Arial" w:eastAsia="Arial" w:hAnsi="Arial"/>
          <w:color w:val="2D3748"/>
          <w:sz w:val="21"/>
          <w:szCs w:val="21"/>
        </w:rPr>
        <w:t xml:space="preserve">Red arrows = positive causal effect: when the source increases, the target tends to increase</w:t>
      </w:r>
    </w:p>
    <w:p>
      <w:pPr>
        <w:spacing w:after="80"/>
        <w:ind w:left="360"/>
      </w:pPr>
      <w:r>
        <w:rPr>
          <w:rFonts w:ascii="Arial" w:cs="Arial" w:eastAsia="Arial" w:hAnsi="Arial"/>
          <w:color w:val="1F4788"/>
          <w:sz w:val="21"/>
          <w:szCs w:val="21"/>
        </w:rPr>
        <w:t xml:space="preserve">• </w:t>
      </w:r>
      <w:r>
        <w:rPr>
          <w:rFonts w:ascii="Arial" w:cs="Arial" w:eastAsia="Arial" w:hAnsi="Arial"/>
          <w:color w:val="2D3748"/>
          <w:sz w:val="21"/>
          <w:szCs w:val="21"/>
        </w:rPr>
        <w:t xml:space="preserve">Blue arrows = negative causal effect: when the source increases, the target tends to decrease</w:t>
      </w:r>
    </w:p>
    <w:p>
      <w:pPr>
        <w:spacing w:after="80"/>
        <w:ind w:left="360"/>
      </w:pPr>
      <w:r>
        <w:rPr>
          <w:rFonts w:ascii="Arial" w:cs="Arial" w:eastAsia="Arial" w:hAnsi="Arial"/>
          <w:color w:val="1F4788"/>
          <w:sz w:val="21"/>
          <w:szCs w:val="21"/>
        </w:rPr>
        <w:t xml:space="preserve">• </w:t>
      </w:r>
      <w:r>
        <w:rPr>
          <w:rFonts w:ascii="Arial" w:cs="Arial" w:eastAsia="Arial" w:hAnsi="Arial"/>
          <w:color w:val="2D3748"/>
          <w:sz w:val="21"/>
          <w:szCs w:val="21"/>
        </w:rPr>
        <w:t xml:space="preserve">Arrow thickness = causal strength (thicker = stronger effect)</w:t>
      </w:r>
    </w:p>
    <w:p>
      <w:pPr>
        <w:spacing w:after="80"/>
      </w:pPr>
      <w:r>
        <w:t xml:space="preserve"/>
      </w:r>
    </w:p>
    <w:p>
      <w:pPr>
        <w:pStyle w:val="Heading2"/>
        <w:spacing w:after="80" w:before="200"/>
      </w:pPr>
      <w:r>
        <w:rPr>
          <w:rFonts w:ascii="Arial" w:cs="Arial" w:eastAsia="Arial" w:hAnsi="Arial"/>
          <w:b/>
          <w:bCs/>
          <w:color w:val="1F4788"/>
          <w:sz w:val="24"/>
          <w:szCs w:val="24"/>
        </w:rPr>
        <w:t xml:space="preserve">Heatmap</w:t>
      </w:r>
    </w:p>
    <w:p>
      <w:pPr>
        <w:spacing w:after="80"/>
        <w:ind w:left="360"/>
      </w:pPr>
      <w:r>
        <w:rPr>
          <w:rFonts w:ascii="Arial" w:cs="Arial" w:eastAsia="Arial" w:hAnsi="Arial"/>
          <w:color w:val="1F4788"/>
          <w:sz w:val="21"/>
          <w:szCs w:val="21"/>
        </w:rPr>
        <w:t xml:space="preserve">• </w:t>
      </w:r>
      <w:r>
        <w:rPr>
          <w:rFonts w:ascii="Arial" w:cs="Arial" w:eastAsia="Arial" w:hAnsi="Arial"/>
          <w:color w:val="2D3748"/>
          <w:sz w:val="21"/>
          <w:szCs w:val="21"/>
        </w:rPr>
        <w:t xml:space="preserve">Each row is a source variable, each column is a target variable</w:t>
      </w:r>
    </w:p>
    <w:p>
      <w:pPr>
        <w:spacing w:after="80"/>
        <w:ind w:left="360"/>
      </w:pPr>
      <w:r>
        <w:rPr>
          <w:rFonts w:ascii="Arial" w:cs="Arial" w:eastAsia="Arial" w:hAnsi="Arial"/>
          <w:color w:val="1F4788"/>
          <w:sz w:val="21"/>
          <w:szCs w:val="21"/>
        </w:rPr>
        <w:t xml:space="preserve">• </w:t>
      </w:r>
      <w:r>
        <w:rPr>
          <w:rFonts w:ascii="Arial" w:cs="Arial" w:eastAsia="Arial" w:hAnsi="Arial"/>
          <w:color w:val="2D3748"/>
          <w:sz w:val="21"/>
          <w:szCs w:val="21"/>
        </w:rPr>
        <w:t xml:space="preserve">Red cell = positive causal weight, blue cell = negative causal weight</w:t>
      </w:r>
    </w:p>
    <w:p>
      <w:pPr>
        <w:spacing w:after="80"/>
        <w:ind w:left="360"/>
      </w:pPr>
      <w:r>
        <w:rPr>
          <w:rFonts w:ascii="Arial" w:cs="Arial" w:eastAsia="Arial" w:hAnsi="Arial"/>
          <w:color w:val="1F4788"/>
          <w:sz w:val="21"/>
          <w:szCs w:val="21"/>
        </w:rPr>
        <w:t xml:space="preserve">• </w:t>
      </w:r>
      <w:r>
        <w:rPr>
          <w:rFonts w:ascii="Arial" w:cs="Arial" w:eastAsia="Arial" w:hAnsi="Arial"/>
          <w:color w:val="2D3748"/>
          <w:sz w:val="21"/>
          <w:szCs w:val="21"/>
        </w:rPr>
        <w:t xml:space="preserve">White cell = no significant causal relationship (weight ≤ threshold)</w:t>
      </w:r>
    </w:p>
    <w:p>
      <w:pPr>
        <w:spacing w:after="80"/>
        <w:ind w:left="360"/>
      </w:pPr>
      <w:r>
        <w:rPr>
          <w:rFonts w:ascii="Arial" w:cs="Arial" w:eastAsia="Arial" w:hAnsi="Arial"/>
          <w:color w:val="1F4788"/>
          <w:sz w:val="21"/>
          <w:szCs w:val="21"/>
        </w:rPr>
        <w:t xml:space="preserve">• </w:t>
      </w:r>
      <w:r>
        <w:rPr>
          <w:rFonts w:ascii="Arial" w:cs="Arial" w:eastAsia="Arial" w:hAnsi="Arial"/>
          <w:color w:val="2D3748"/>
          <w:sz w:val="21"/>
          <w:szCs w:val="21"/>
        </w:rPr>
        <w:t xml:space="preserve">The diagonal is always zero (a variable cannot cause itself)</w:t>
      </w:r>
    </w:p>
    <w:p>
      <w:pPr>
        <w:spacing w:after="80"/>
      </w:pPr>
      <w:r>
        <w:t xml:space="preserve"/>
      </w:r>
    </w:p>
    <w:p>
      <w:pPr>
        <w:pStyle w:val="Heading2"/>
        <w:spacing w:after="80" w:before="200"/>
      </w:pPr>
      <w:r>
        <w:rPr>
          <w:rFonts w:ascii="Arial" w:cs="Arial" w:eastAsia="Arial" w:hAnsi="Arial"/>
          <w:b/>
          <w:bCs/>
          <w:color w:val="1F4788"/>
          <w:sz w:val="24"/>
          <w:szCs w:val="24"/>
        </w:rPr>
        <w:t xml:space="preserve">Significant links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E8F0FE" w:val="clear"/>
          </w:tcPr>
          <w:p>
            <w:pPr>
              <w:spacing w:after="60" w:before="60"/>
            </w:pPr>
            <w:r>
              <w:rPr>
                <w:rFonts w:ascii="Arial" w:cs="Arial" w:eastAsia="Arial" w:hAnsi="Arial"/>
                <w:b/>
                <w:bCs/>
                <w:color w:val="1F4788"/>
                <w:sz w:val="19"/>
                <w:szCs w:val="19"/>
              </w:rPr>
              <w:t xml:space="preserve">Column</w:t>
            </w:r>
          </w:p>
        </w:tc>
        <w:tc>
          <w:tcPr>
            <w:tcW w:type="dxa" w:w="4500"/>
            <w:shd w:fill="E8F0FE" w:val="clear"/>
          </w:tcPr>
          <w:p>
            <w:pPr>
              <w:spacing w:after="60" w:before="60"/>
            </w:pPr>
            <w:r>
              <w:rPr>
                <w:rFonts w:ascii="Arial" w:cs="Arial" w:eastAsia="Arial" w:hAnsi="Arial"/>
                <w:b/>
                <w:bCs/>
                <w:color w:val="1F4788"/>
                <w:sz w:val="19"/>
                <w:szCs w:val="19"/>
              </w:rPr>
              <w:t xml:space="preserve">Meaning</w:t>
            </w:r>
          </w:p>
        </w:tc>
      </w:tr>
      <w:tr>
        <w:tc>
          <w:tcPr>
            <w:tcW w:type="dxa" w:w="4500"/>
          </w:tcPr>
          <w:p>
            <w:pPr>
              <w:spacing w:after="50" w:before="50"/>
            </w:pPr>
            <w:r>
              <w:rPr>
                <w:rFonts w:ascii="Arial" w:cs="Arial" w:eastAsia="Arial" w:hAnsi="Arial"/>
                <w:color w:val="2D3748"/>
                <w:sz w:val="19"/>
                <w:szCs w:val="19"/>
              </w:rPr>
              <w:t xml:space="preserve">source / target</w:t>
            </w:r>
          </w:p>
        </w:tc>
        <w:tc>
          <w:tcPr>
            <w:tcW w:type="dxa" w:w="4500"/>
          </w:tcPr>
          <w:p>
            <w:pPr>
              <w:spacing w:after="50" w:before="50"/>
            </w:pPr>
            <w:r>
              <w:rPr>
                <w:rFonts w:ascii="Arial" w:cs="Arial" w:eastAsia="Arial" w:hAnsi="Arial"/>
                <w:color w:val="2D3748"/>
                <w:sz w:val="19"/>
                <w:szCs w:val="19"/>
              </w:rPr>
              <w:t xml:space="preserve">Variable names</w:t>
            </w:r>
          </w:p>
        </w:tc>
      </w:tr>
      <w:tr>
        <w:tc>
          <w:tcPr>
            <w:tcW w:type="dxa" w:w="4500"/>
          </w:tcPr>
          <w:p>
            <w:pPr>
              <w:spacing w:after="50" w:before="50"/>
            </w:pPr>
            <w:r>
              <w:rPr>
                <w:rFonts w:ascii="Arial" w:cs="Arial" w:eastAsia="Arial" w:hAnsi="Arial"/>
                <w:color w:val="2D3748"/>
                <w:sz w:val="19"/>
                <w:szCs w:val="19"/>
              </w:rPr>
              <w:t xml:space="preserve">source_cat / target_cat</w:t>
            </w:r>
          </w:p>
        </w:tc>
        <w:tc>
          <w:tcPr>
            <w:tcW w:type="dxa" w:w="4500"/>
          </w:tcPr>
          <w:p>
            <w:pPr>
              <w:spacing w:after="50" w:before="50"/>
            </w:pPr>
            <w:r>
              <w:rPr>
                <w:rFonts w:ascii="Arial" w:cs="Arial" w:eastAsia="Arial" w:hAnsi="Arial"/>
                <w:color w:val="2D3748"/>
                <w:sz w:val="19"/>
                <w:szCs w:val="19"/>
              </w:rPr>
              <w:t xml:space="preserve">Category of source and target (meta / incident / traffic)</w:t>
            </w:r>
          </w:p>
        </w:tc>
      </w:tr>
      <w:tr>
        <w:tc>
          <w:tcPr>
            <w:tcW w:type="dxa" w:w="4500"/>
          </w:tcPr>
          <w:p>
            <w:pPr>
              <w:spacing w:after="50" w:before="50"/>
            </w:pPr>
            <w:r>
              <w:rPr>
                <w:rFonts w:ascii="Arial" w:cs="Arial" w:eastAsia="Arial" w:hAnsi="Arial"/>
                <w:color w:val="2D3748"/>
                <w:sz w:val="19"/>
                <w:szCs w:val="19"/>
              </w:rPr>
              <w:t xml:space="preserve">weight</w:t>
            </w:r>
          </w:p>
        </w:tc>
        <w:tc>
          <w:tcPr>
            <w:tcW w:type="dxa" w:w="4500"/>
          </w:tcPr>
          <w:p>
            <w:pPr>
              <w:spacing w:after="50" w:before="50"/>
            </w:pPr>
            <w:r>
              <w:rPr>
                <w:rFonts w:ascii="Arial" w:cs="Arial" w:eastAsia="Arial" w:hAnsi="Arial"/>
                <w:color w:val="2D3748"/>
                <w:sz w:val="19"/>
                <w:szCs w:val="19"/>
              </w:rPr>
              <w:t xml:space="preserve">Causal coefficient — sign and magnitude of the effect</w:t>
            </w:r>
          </w:p>
        </w:tc>
      </w:tr>
      <w:tr>
        <w:tc>
          <w:tcPr>
            <w:tcW w:type="dxa" w:w="4500"/>
          </w:tcPr>
          <w:p>
            <w:pPr>
              <w:spacing w:after="50" w:before="50"/>
            </w:pPr>
            <w:r>
              <w:rPr>
                <w:rFonts w:ascii="Arial" w:cs="Arial" w:eastAsia="Arial" w:hAnsi="Arial"/>
                <w:color w:val="2D3748"/>
                <w:sz w:val="19"/>
                <w:szCs w:val="19"/>
              </w:rPr>
              <w:t xml:space="preserve">direction</w:t>
            </w:r>
          </w:p>
        </w:tc>
        <w:tc>
          <w:tcPr>
            <w:tcW w:type="dxa" w:w="4500"/>
          </w:tcPr>
          <w:p>
            <w:pPr>
              <w:spacing w:after="50" w:before="50"/>
            </w:pPr>
            <w:r>
              <w:rPr>
                <w:rFonts w:ascii="Arial" w:cs="Arial" w:eastAsia="Arial" w:hAnsi="Arial"/>
                <w:color w:val="2D3748"/>
                <w:sz w:val="19"/>
                <w:szCs w:val="19"/>
              </w:rPr>
              <w:t xml:space="preserve">positive or negative</w:t>
            </w:r>
          </w:p>
        </w:tc>
      </w:tr>
      <w:tr>
        <w:tc>
          <w:tcPr>
            <w:tcW w:type="dxa" w:w="4500"/>
          </w:tcPr>
          <w:p>
            <w:pPr>
              <w:spacing w:after="50" w:before="50"/>
            </w:pPr>
            <w:r>
              <w:rPr>
                <w:rFonts w:ascii="Arial" w:cs="Arial" w:eastAsia="Arial" w:hAnsi="Arial"/>
                <w:color w:val="2D3748"/>
                <w:sz w:val="19"/>
                <w:szCs w:val="19"/>
              </w:rPr>
              <w:t xml:space="preserve">abs_weight</w:t>
            </w:r>
          </w:p>
        </w:tc>
        <w:tc>
          <w:tcPr>
            <w:tcW w:type="dxa" w:w="4500"/>
          </w:tcPr>
          <w:p>
            <w:pPr>
              <w:spacing w:after="50" w:before="50"/>
            </w:pPr>
            <w:r>
              <w:rPr>
                <w:rFonts w:ascii="Arial" w:cs="Arial" w:eastAsia="Arial" w:hAnsi="Arial"/>
                <w:color w:val="2D3748"/>
                <w:sz w:val="19"/>
                <w:szCs w:val="19"/>
              </w:rPr>
              <w:t xml:space="preserve">Absolute value of weight — used for ranking by strength</w:t>
            </w:r>
          </w:p>
        </w:tc>
      </w:tr>
    </w:tbl>
    <w:p>
      <w:pPr>
        <w:spacing w:after="120"/>
      </w:pPr>
      <w:r>
        <w:t xml:space="preserve"/>
      </w:r>
    </w:p>
    <w:p>
      <w:r>
        <w:br w:type="page"/>
      </w:r>
    </w:p>
    <w:p>
      <w:pPr>
        <w:pStyle w:val="Heading1"/>
        <w:pBdr>
          <w:bottom w:val="single" w:color="1F4788" w:sz="8" w:space="4"/>
        </w:pBdr>
        <w:spacing w:after="160" w:before="300"/>
      </w:pPr>
      <w:r>
        <w:rPr>
          <w:rFonts w:ascii="Arial" w:cs="Arial" w:eastAsia="Arial" w:hAnsi="Arial"/>
          <w:b/>
          <w:bCs/>
          <w:color w:val="1A202C"/>
          <w:sz w:val="30"/>
          <w:szCs w:val="30"/>
        </w:rPr>
        <w:t xml:space="preserve">Expected Findings</w:t>
      </w:r>
    </w:p>
    <w:p>
      <w:pPr>
        <w:spacing w:after="100"/>
      </w:pPr>
      <w:r>
        <w:rPr>
          <w:rFonts w:ascii="Arial" w:cs="Arial" w:eastAsia="Arial" w:hAnsi="Arial"/>
          <w:color w:val="2D3748"/>
          <w:sz w:val="21"/>
          <w:szCs w:val="21"/>
        </w:rPr>
        <w:t xml:space="preserve">Based on TraffiDent's global causal analysis results (Figure 5) and general traffic knowledge, we expect the following patterns in the NSW dataset:</w:t>
      </w:r>
    </w:p>
    <w:p>
      <w:pPr>
        <w:spacing w:after="80"/>
      </w:pPr>
      <w:r>
        <w:t xml:space="preserve"/>
      </w:r>
    </w:p>
    <w:p>
      <w:pPr>
        <w:spacing w:after="60" w:before="160"/>
      </w:pPr>
      <w:r>
        <w:rPr>
          <w:rFonts w:ascii="Arial" w:cs="Arial" w:eastAsia="Arial" w:hAnsi="Arial"/>
          <w:b/>
          <w:bCs/>
          <w:color w:val="2D3748"/>
          <w:sz w:val="22"/>
          <w:szCs w:val="22"/>
        </w:rPr>
        <w:t xml:space="preserve">Finding 1 — Static road features are influential</w:t>
      </w:r>
    </w:p>
    <w:p>
      <w:pPr>
        <w:spacing w:after="100"/>
      </w:pPr>
      <w:r>
        <w:rPr>
          <w:rFonts w:ascii="Arial" w:cs="Arial" w:eastAsia="Arial" w:hAnsi="Arial"/>
          <w:color w:val="2D3748"/>
          <w:sz w:val="21"/>
          <w:szCs w:val="21"/>
        </w:rPr>
        <w:t xml:space="preserve">Variables such as betweenness centrality and closeness centrality are expected to show consistent causal links to incident variables across stations. Stations with higher centrality are more exposed to traffic volume and therefore more prone to incidents.</w:t>
      </w:r>
    </w:p>
    <w:p>
      <w:pPr>
        <w:spacing w:after="80"/>
      </w:pPr>
      <w:r>
        <w:t xml:space="preserve"/>
      </w:r>
    </w:p>
    <w:p>
      <w:pPr>
        <w:spacing w:after="60" w:before="160"/>
      </w:pPr>
      <w:r>
        <w:rPr>
          <w:rFonts w:ascii="Arial" w:cs="Arial" w:eastAsia="Arial" w:hAnsi="Arial"/>
          <w:b/>
          <w:bCs/>
          <w:color w:val="2D3748"/>
          <w:sz w:val="22"/>
          <w:szCs w:val="22"/>
        </w:rPr>
        <w:t xml:space="preserve">Finding 2 — Time and weather affect incidents</w:t>
      </w:r>
    </w:p>
    <w:p>
      <w:pPr>
        <w:spacing w:after="100"/>
      </w:pPr>
      <w:r>
        <w:rPr>
          <w:rFonts w:ascii="Arial" w:cs="Arial" w:eastAsia="Arial" w:hAnsi="Arial"/>
          <w:color w:val="2D3748"/>
          <w:sz w:val="21"/>
          <w:szCs w:val="21"/>
        </w:rPr>
        <w:t xml:space="preserve">is_weekend and precipitation_daily are expected to show causal links to hazard type counts. TraffiDent found that hazard probability is higher during weekday peak hours (5–8 AM and after 3 PM) and that rain increases accident probability compared to dry conditions.</w:t>
      </w:r>
    </w:p>
    <w:p>
      <w:pPr>
        <w:spacing w:after="80"/>
      </w:pPr>
      <w:r>
        <w:t xml:space="preserve"/>
      </w:r>
    </w:p>
    <w:p>
      <w:pPr>
        <w:spacing w:after="60" w:before="160"/>
      </w:pPr>
      <w:r>
        <w:rPr>
          <w:rFonts w:ascii="Arial" w:cs="Arial" w:eastAsia="Arial" w:hAnsi="Arial"/>
          <w:b/>
          <w:bCs/>
          <w:color w:val="2D3748"/>
          <w:sz w:val="22"/>
          <w:szCs w:val="22"/>
        </w:rPr>
        <w:t xml:space="preserve">Finding 3 — Positive propagation dominates</w:t>
      </w:r>
    </w:p>
    <w:p>
      <w:pPr>
        <w:spacing w:after="100"/>
      </w:pPr>
      <w:r>
        <w:rPr>
          <w:rFonts w:ascii="Arial" w:cs="Arial" w:eastAsia="Arial" w:hAnsi="Arial"/>
          <w:color w:val="2D3748"/>
          <w:sz w:val="21"/>
          <w:szCs w:val="21"/>
        </w:rPr>
        <w:t xml:space="preserve">Incident variables are expected to show positive causal effects on traffic statistics — more incidents lead to higher impact hours and lower mean flow. This matches the physical expectation that incidents disrupt traffic flow.</w:t>
      </w:r>
    </w:p>
    <w:p>
      <w:pPr>
        <w:spacing w:after="80"/>
      </w:pPr>
      <w:r>
        <w:t xml:space="preserve"/>
      </w:r>
    </w:p>
    <w:p>
      <w:pPr>
        <w:spacing w:after="60" w:before="160"/>
      </w:pPr>
      <w:r>
        <w:rPr>
          <w:rFonts w:ascii="Arial" w:cs="Arial" w:eastAsia="Arial" w:hAnsi="Arial"/>
          <w:b/>
          <w:bCs/>
          <w:color w:val="2D3748"/>
          <w:sz w:val="22"/>
          <w:szCs w:val="22"/>
        </w:rPr>
        <w:t xml:space="preserve">Limitation</w:t>
      </w:r>
    </w:p>
    <w:p>
      <w:pPr>
        <w:spacing w:after="100"/>
      </w:pPr>
      <w:r>
        <w:rPr>
          <w:rFonts w:ascii="Arial" w:cs="Arial" w:eastAsia="Arial" w:hAnsi="Arial"/>
          <w:color w:val="2D3748"/>
          <w:sz w:val="21"/>
          <w:szCs w:val="21"/>
        </w:rPr>
        <w:t xml:space="preserve">Unlike TraffiDent which uses MM-DAG across four high-incident districts simultaneously, this analysis covers all 67 NSW stations together in a single model. The smaller dataset (67 stations, 1 year) may produce weaker causal signals. This limitation will be noted in the report.</w:t>
      </w:r>
    </w:p>
    <w:p>
      <w:pPr>
        <w:spacing w:after="200"/>
      </w:pPr>
      <w: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A202C"/>
      <w:sz w:val="30"/>
      <w:szCs w:val="30"/>
    </w:rPr>
  </w:style>
  <w:style w:type="paragraph" w:styleId="Heading2">
    <w:name w:val="Heading 2"/>
    <w:basedOn w:val="Normal"/>
    <w:next w:val="Normal"/>
    <w:qFormat/>
    <w:pPr>
      <w:spacing w:after="80" w:before="200"/>
      <w:outlineLvl w:val="1"/>
    </w:pPr>
    <w:rPr>
      <w:rFonts w:ascii="Arial" w:cs="Arial" w:eastAsia="Arial" w:hAnsi="Arial"/>
      <w:b/>
      <w:bCs/>
      <w:color w:val="1F47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2026-07-13T03:10:10.529Z</dcterms:created>
  <dcterms:modified xsi:type="dcterms:W3CDTF">2026-07-13T03:10:10.543Z</dcterms:modified>
</cp:coreProperties>
</file>

<file path=docProps/custom.xml><?xml version="1.0" encoding="utf-8"?>
<Properties xmlns="http://schemas.openxmlformats.org/officeDocument/2006/custom-properties" xmlns:vt="http://schemas.openxmlformats.org/officeDocument/2006/docPropsVTypes"/>
</file>