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eastAsia="Times New Roman"/>
          <w:b/>
          <w:sz w:val="20"/>
        </w:rPr>
        <w:t>MINUTA PARA REVISÃO JURÍDICA</w:t>
      </w:r>
    </w:p>
    <w:p>
      <w:pPr>
        <w:spacing w:after="40" w:before="0" w:line="276" w:lineRule="auto"/>
        <w:jc w:val="center"/>
      </w:pPr>
      <w:r>
        <w:rPr>
          <w:rFonts w:ascii="Times New Roman" w:hAnsi="Times New Roman" w:eastAsia="Times New Roman"/>
          <w:b/>
          <w:sz w:val="32"/>
        </w:rPr>
        <w:t>TERMOS E CONDIÇÕES DE USO, LICENÇA DE SOFTWARE</w:t>
      </w:r>
    </w:p>
    <w:p>
      <w:pPr>
        <w:spacing w:after="120" w:before="0" w:line="276" w:lineRule="auto"/>
        <w:jc w:val="center"/>
      </w:pPr>
      <w:r>
        <w:rPr>
          <w:rFonts w:ascii="Times New Roman" w:hAnsi="Times New Roman" w:eastAsia="Times New Roman"/>
          <w:b/>
          <w:sz w:val="32"/>
        </w:rPr>
        <w:t>E REGIME DE TRATAMENTO DE DADOS PÚBLICOS JUDICIAIS</w:t>
      </w:r>
    </w:p>
    <w:p>
      <w:pPr>
        <w:spacing w:after="80" w:before="0" w:line="276" w:lineRule="auto"/>
        <w:jc w:val="center"/>
      </w:pPr>
      <w:r>
        <w:rPr>
          <w:rFonts w:ascii="Times New Roman" w:hAnsi="Times New Roman" w:eastAsia="Times New Roman"/>
          <w:b w:val="0"/>
          <w:sz w:val="22"/>
        </w:rPr>
        <w:t>Plataforma LexisPredict (incluindo instância em nuvem, modo segurança por planilha e variante offline)</w:t>
      </w:r>
    </w:p>
    <w:p>
      <w:pPr>
        <w:spacing w:after="40" w:before="0" w:line="276" w:lineRule="auto"/>
        <w:jc w:val="center"/>
      </w:pPr>
      <w:r>
        <w:rPr>
          <w:rFonts w:ascii="Times New Roman" w:hAnsi="Times New Roman" w:eastAsia="Times New Roman"/>
          <w:b w:val="0"/>
          <w:sz w:val="22"/>
        </w:rPr>
        <w:t>Titular da plataforma: Davi Alves Figueredo, em operação associada a W1 Capital — aplicativo de gestão para assessoria financeira.</w:t>
      </w:r>
    </w:p>
    <w:p>
      <w:pPr>
        <w:spacing w:after="280" w:before="0" w:line="276" w:lineRule="auto"/>
        <w:jc w:val="center"/>
      </w:pPr>
      <w:r>
        <w:rPr>
          <w:rFonts w:ascii="Times New Roman" w:hAnsi="Times New Roman" w:eastAsia="Times New Roman"/>
          <w:b w:val="0"/>
          <w:sz w:val="20"/>
        </w:rPr>
        <w:t>Contato: w1capitalassessoria@protonmail.com · Foro: Comarca de São Paulo/SP · Vigência da minuta: 21 de setembro de 2026</w:t>
      </w:r>
    </w:p>
    <w:p>
      <w:pPr>
        <w:spacing w:after="160" w:before="0" w:line="276" w:lineRule="auto"/>
        <w:ind w:firstLine="709"/>
        <w:jc w:val="both"/>
      </w:pPr>
      <w:r>
        <w:rPr>
          <w:rFonts w:ascii="Times New Roman" w:hAnsi="Times New Roman" w:eastAsia="Times New Roman"/>
          <w:b w:val="0"/>
          <w:sz w:val="22"/>
        </w:rPr>
        <w:t>Este instrumento disciplina (i) o acesso e o uso da plataforma de software denominada LexisPredict; (ii) a licença de uso, de caráter oneroso ou gracioso conforme o plano contratado, sobre programa de computador de titularidade privada; (iii) as regras de tratamento de dados provenientes de fontes públicas do Poder Judiciário brasileiro, em especial bases e interfaces do Conselho Nacional de Justiça (CNJ), do DataJud e do Diário de Justiça Eletrônico Nacional (DJEN), bem como numeração única de processos (padrão CNJ); e (iv) os limites entre dado processual publicamente acessível, dado pessoal e uso comercial lícito. A aceitação ocorre pelo cadastro, login, clique em “aceito”, uso continuado da plataforma ou implantação em ambiente do CONTRATANTE.</w:t>
      </w:r>
    </w:p>
    <w:p>
      <w:pPr>
        <w:spacing w:before="320" w:after="160"/>
        <w:ind w:firstLine="0"/>
      </w:pPr>
      <w:r>
        <w:rPr>
          <w:rFonts w:ascii="Times New Roman" w:hAnsi="Times New Roman" w:eastAsia="Times New Roman"/>
          <w:b/>
          <w:sz w:val="28"/>
        </w:rPr>
        <w:t>CLÁUSULA 1 — PARTES, ADESÃO E ÂMBITO</w:t>
      </w:r>
    </w:p>
    <w:p>
      <w:pPr>
        <w:spacing w:after="160" w:before="0" w:line="276" w:lineRule="auto"/>
        <w:ind w:firstLine="709"/>
        <w:jc w:val="both"/>
      </w:pPr>
      <w:r>
        <w:rPr>
          <w:rFonts w:ascii="Times New Roman" w:hAnsi="Times New Roman" w:eastAsia="Times New Roman"/>
          <w:b w:val="0"/>
          <w:sz w:val="22"/>
        </w:rPr>
        <w:t>1.1. LICENCIANTE: a pessoa natural Davi Alves Figueredo e, quando aplicável, a estrutura operacional identificada como W1 Capital — aplicativo de gestão para assessoria financeira, responsável pelo desenvolvimento, hospedagem (quando em nuvem) e suporte da plataforma LexisPredict.</w:t>
      </w:r>
    </w:p>
    <w:p>
      <w:pPr>
        <w:spacing w:after="160" w:before="0" w:line="276" w:lineRule="auto"/>
        <w:ind w:firstLine="709"/>
        <w:jc w:val="both"/>
      </w:pPr>
      <w:r>
        <w:rPr>
          <w:rFonts w:ascii="Times New Roman" w:hAnsi="Times New Roman" w:eastAsia="Times New Roman"/>
          <w:b w:val="0"/>
          <w:sz w:val="22"/>
        </w:rPr>
        <w:t>1.2. LICENCIADO ou USUÁRIO: a pessoa natural ou jurídica que acessa a plataforma, inclusive operadores, administradores, supervisores, superadministradores, prestadores de serviço, assessorias financeiras, escritórios contratados e quaisquer terceiros a quem o LICENCIADO conceda credencial.</w:t>
      </w:r>
    </w:p>
    <w:p>
      <w:pPr>
        <w:spacing w:after="160" w:before="0" w:line="276" w:lineRule="auto"/>
        <w:ind w:firstLine="709"/>
        <w:jc w:val="both"/>
      </w:pPr>
      <w:r>
        <w:rPr>
          <w:rFonts w:ascii="Times New Roman" w:hAnsi="Times New Roman" w:eastAsia="Times New Roman"/>
          <w:b w:val="0"/>
          <w:sz w:val="22"/>
        </w:rPr>
        <w:t>1.3. A adesão é contratual, mesmo quando o plano vigente for gratuito, experimental, de cortesia ou de “modo segurança”. Gratuidade de preço não implica renúncia a direitos autorais, tampouco autorização irrestrita de uso de dados.</w:t>
      </w:r>
    </w:p>
    <w:p>
      <w:pPr>
        <w:spacing w:after="160" w:before="0" w:line="276" w:lineRule="auto"/>
        <w:ind w:firstLine="709"/>
        <w:jc w:val="both"/>
      </w:pPr>
      <w:r>
        <w:rPr>
          <w:rFonts w:ascii="Times New Roman" w:hAnsi="Times New Roman" w:eastAsia="Times New Roman"/>
          <w:b w:val="0"/>
          <w:sz w:val="22"/>
        </w:rPr>
        <w:t>1.4. O âmbito territorial presume operação no Brasil, com tratamento de dados sujeitos à Lei nº 13.709/2018 (LGPD), ao Marco Civil da Internet (Lei nº 12.965/2014), à Lei de Direitos Autorais (Lei nº 9.610/1998), à Lei de Software (Lei nº 9.609/1998) e às normas do CNJ sobre publicidade processual, sigilo e diários oficiais.</w:t>
      </w:r>
    </w:p>
    <w:p>
      <w:pPr>
        <w:spacing w:after="160" w:before="0" w:line="276" w:lineRule="auto"/>
        <w:ind w:firstLine="709"/>
        <w:jc w:val="both"/>
      </w:pPr>
      <w:r>
        <w:rPr>
          <w:rFonts w:ascii="Times New Roman" w:hAnsi="Times New Roman" w:eastAsia="Times New Roman"/>
          <w:b w:val="0"/>
          <w:sz w:val="22"/>
        </w:rPr>
        <w:t>1.5. Módulos abrangidos: carteira de processos, filas de atendimento, scanner DataJud/DJEN, gerador de peças, dossiê operacional, CRM de assessoria, WhatsApp operacional quando habilitado, modo segurança (planilha/Google Apps Script), instância offline e quaisquer atualizações.</w:t>
      </w:r>
    </w:p>
    <w:p>
      <w:pPr>
        <w:spacing w:before="320" w:after="160"/>
        <w:ind w:firstLine="0"/>
      </w:pPr>
      <w:r>
        <w:rPr>
          <w:rFonts w:ascii="Times New Roman" w:hAnsi="Times New Roman" w:eastAsia="Times New Roman"/>
          <w:b/>
          <w:sz w:val="28"/>
        </w:rPr>
        <w:t>CLÁUSULA 2 — DEFINIÇÕES</w:t>
      </w:r>
    </w:p>
    <w:p>
      <w:pPr>
        <w:spacing w:after="160" w:before="0" w:line="276" w:lineRule="auto"/>
        <w:ind w:firstLine="709"/>
        <w:jc w:val="both"/>
      </w:pPr>
      <w:r>
        <w:rPr>
          <w:rFonts w:ascii="Times New Roman" w:hAnsi="Times New Roman" w:eastAsia="Times New Roman"/>
          <w:b w:val="0"/>
          <w:sz w:val="22"/>
        </w:rPr>
        <w:t>2.1. Plataforma: o conjunto de código, interfaces, fluxos, heurísticas, modelos de peça, painéis e integrações comercializado sob a marca LexisPredict.</w:t>
      </w:r>
    </w:p>
    <w:p>
      <w:pPr>
        <w:spacing w:after="160" w:before="0" w:line="276" w:lineRule="auto"/>
        <w:ind w:firstLine="709"/>
        <w:jc w:val="both"/>
      </w:pPr>
      <w:r>
        <w:rPr>
          <w:rFonts w:ascii="Times New Roman" w:hAnsi="Times New Roman" w:eastAsia="Times New Roman"/>
          <w:b w:val="0"/>
          <w:sz w:val="22"/>
        </w:rPr>
        <w:t>2.2. Conta: credencial individual (e-mail/login e senha ou hash), vinculada a uma empresa_id / tenant.</w:t>
      </w:r>
    </w:p>
    <w:p>
      <w:pPr>
        <w:spacing w:after="160" w:before="0" w:line="276" w:lineRule="auto"/>
        <w:ind w:firstLine="709"/>
        <w:jc w:val="both"/>
      </w:pPr>
      <w:r>
        <w:rPr>
          <w:rFonts w:ascii="Times New Roman" w:hAnsi="Times New Roman" w:eastAsia="Times New Roman"/>
          <w:b w:val="0"/>
          <w:sz w:val="22"/>
        </w:rPr>
        <w:t>2.3. Tenant: isolamento lógico por empresa no banco e, no modo segurança, por planilha operacional.</w:t>
      </w:r>
    </w:p>
    <w:p>
      <w:pPr>
        <w:spacing w:after="160" w:before="0" w:line="276" w:lineRule="auto"/>
        <w:ind w:firstLine="709"/>
        <w:jc w:val="both"/>
      </w:pPr>
      <w:r>
        <w:rPr>
          <w:rFonts w:ascii="Times New Roman" w:hAnsi="Times New Roman" w:eastAsia="Times New Roman"/>
          <w:b w:val="0"/>
          <w:sz w:val="22"/>
        </w:rPr>
        <w:t>2.4. Dado processual público: informação que o ordenamento e a prática forense consideram acessível em consulta pública de processo não sujeito a segredo de justiça, tais como número CNJ, classe, órgão, movimentação lançada em sistema público e teor publicado em diário oficial.</w:t>
      </w:r>
    </w:p>
    <w:p>
      <w:pPr>
        <w:spacing w:after="160" w:before="0" w:line="276" w:lineRule="auto"/>
        <w:ind w:firstLine="709"/>
        <w:jc w:val="both"/>
      </w:pPr>
      <w:r>
        <w:rPr>
          <w:rFonts w:ascii="Times New Roman" w:hAnsi="Times New Roman" w:eastAsia="Times New Roman"/>
          <w:b w:val="0"/>
          <w:sz w:val="22"/>
        </w:rPr>
        <w:t>2.5. Dado pessoal: informação relacionada a pessoa natural identificada ou identificável (art. 5º, I, LGPD), inclusive quando extraída de peça, andamento, telefone, CPF, endereço ou combinação de atributos.</w:t>
      </w:r>
    </w:p>
    <w:p>
      <w:pPr>
        <w:spacing w:after="160" w:before="0" w:line="276" w:lineRule="auto"/>
        <w:ind w:firstLine="709"/>
        <w:jc w:val="both"/>
      </w:pPr>
      <w:r>
        <w:rPr>
          <w:rFonts w:ascii="Times New Roman" w:hAnsi="Times New Roman" w:eastAsia="Times New Roman"/>
          <w:b w:val="0"/>
          <w:sz w:val="22"/>
        </w:rPr>
        <w:t>2.6. Dado pessoal sensível: origem racial, convicção, saúde, vida sexual, dado biométrico e demais hipóteses do art. 5º, II, da LGPD.</w:t>
      </w:r>
    </w:p>
    <w:p>
      <w:pPr>
        <w:spacing w:after="160" w:before="0" w:line="276" w:lineRule="auto"/>
        <w:ind w:firstLine="709"/>
        <w:jc w:val="both"/>
      </w:pPr>
      <w:r>
        <w:rPr>
          <w:rFonts w:ascii="Times New Roman" w:hAnsi="Times New Roman" w:eastAsia="Times New Roman"/>
          <w:b w:val="0"/>
          <w:sz w:val="22"/>
        </w:rPr>
        <w:t>2.7. Número CNJ: chave pública de identificação do processo no padrão do Conselho Nacional de Justiça. É dado de processo; também pode funcionar como chave de reidentificação da parte.</w:t>
      </w:r>
    </w:p>
    <w:p>
      <w:pPr>
        <w:spacing w:after="160" w:before="0" w:line="276" w:lineRule="auto"/>
        <w:ind w:firstLine="709"/>
        <w:jc w:val="both"/>
      </w:pPr>
      <w:r>
        <w:rPr>
          <w:rFonts w:ascii="Times New Roman" w:hAnsi="Times New Roman" w:eastAsia="Times New Roman"/>
          <w:b w:val="0"/>
          <w:sz w:val="22"/>
        </w:rPr>
        <w:t>2.8. Fonte primária judicial: DataJud, DJEN, portais de tribunais e diários oficiais, conforme disponibilidade e termos de cada órgão.</w:t>
      </w:r>
    </w:p>
    <w:p>
      <w:pPr>
        <w:spacing w:after="160" w:before="0" w:line="276" w:lineRule="auto"/>
        <w:ind w:firstLine="709"/>
        <w:jc w:val="both"/>
      </w:pPr>
      <w:r>
        <w:rPr>
          <w:rFonts w:ascii="Times New Roman" w:hAnsi="Times New Roman" w:eastAsia="Times New Roman"/>
          <w:b w:val="0"/>
          <w:sz w:val="22"/>
        </w:rPr>
        <w:t>2.9. Uso analítico interno: contagem, classificação de classe/assunto/tipo de baixa, estatística agregada sem oferta comercial à parte.</w:t>
      </w:r>
    </w:p>
    <w:p>
      <w:pPr>
        <w:spacing w:after="160" w:before="0" w:line="276" w:lineRule="auto"/>
        <w:ind w:firstLine="709"/>
        <w:jc w:val="both"/>
      </w:pPr>
      <w:r>
        <w:rPr>
          <w:rFonts w:ascii="Times New Roman" w:hAnsi="Times New Roman" w:eastAsia="Times New Roman"/>
          <w:b w:val="0"/>
          <w:sz w:val="22"/>
        </w:rPr>
        <w:t>2.10. Uso de prospecção: qualquer ato de localizar parte, telefone ou endereço a partir do CNJ ou do andamento para ofertar produto ou serviço sem base legal e sem relação pré-contratual lícita.</w:t>
      </w:r>
    </w:p>
    <w:p>
      <w:pPr>
        <w:spacing w:after="160" w:before="0" w:line="276" w:lineRule="auto"/>
        <w:ind w:firstLine="709"/>
        <w:jc w:val="both"/>
      </w:pPr>
      <w:r>
        <w:rPr>
          <w:rFonts w:ascii="Times New Roman" w:hAnsi="Times New Roman" w:eastAsia="Times New Roman"/>
          <w:b w:val="0"/>
          <w:sz w:val="22"/>
        </w:rPr>
        <w:t>2.11. Modo segurança: operação degradada quando o banco gerenciado (Supabase/Postgres) está indisponível, passando autenticação e carteira a planilha controlada pelo LICENCIADO.</w:t>
      </w:r>
    </w:p>
    <w:p>
      <w:pPr>
        <w:spacing w:after="160" w:before="0" w:line="276" w:lineRule="auto"/>
        <w:ind w:firstLine="709"/>
        <w:jc w:val="both"/>
      </w:pPr>
      <w:r>
        <w:rPr>
          <w:rFonts w:ascii="Times New Roman" w:hAnsi="Times New Roman" w:eastAsia="Times New Roman"/>
          <w:b w:val="0"/>
          <w:sz w:val="22"/>
        </w:rPr>
        <w:t>2.12. Heurística: regra automática de classificação (baixa, busca e apreensão, cumprimento, mérito, silêncio). Não é decisão judicial nem parecer jurídico.</w:t>
      </w:r>
    </w:p>
    <w:p>
      <w:pPr>
        <w:spacing w:before="320" w:after="160"/>
        <w:ind w:firstLine="0"/>
      </w:pPr>
      <w:r>
        <w:rPr>
          <w:rFonts w:ascii="Times New Roman" w:hAnsi="Times New Roman" w:eastAsia="Times New Roman"/>
          <w:b/>
          <w:sz w:val="28"/>
        </w:rPr>
        <w:t>CLÁUSULA 3 — OBJETO E NATUREZA DO SERVIÇO</w:t>
      </w:r>
    </w:p>
    <w:p>
      <w:pPr>
        <w:spacing w:after="160" w:before="0" w:line="276" w:lineRule="auto"/>
        <w:ind w:firstLine="709"/>
        <w:jc w:val="both"/>
      </w:pPr>
      <w:r>
        <w:rPr>
          <w:rFonts w:ascii="Times New Roman" w:hAnsi="Times New Roman" w:eastAsia="Times New Roman"/>
          <w:b w:val="0"/>
          <w:sz w:val="22"/>
        </w:rPr>
        <w:t>3.1. A Plataforma é ferramenta de operação de carteira e de leitura assistida de fontes públicas judiciais. Não é escritório de advocacia, não pratica ato privativo de advogado, não substitui consulta ao inteiro teor no tribunal e não emite certidão com fé pública.</w:t>
      </w:r>
    </w:p>
    <w:p>
      <w:pPr>
        <w:spacing w:after="160" w:before="0" w:line="276" w:lineRule="auto"/>
        <w:ind w:firstLine="709"/>
        <w:jc w:val="both"/>
      </w:pPr>
      <w:r>
        <w:rPr>
          <w:rFonts w:ascii="Times New Roman" w:hAnsi="Times New Roman" w:eastAsia="Times New Roman"/>
          <w:b w:val="0"/>
          <w:sz w:val="22"/>
        </w:rPr>
        <w:t>3.2. Relatórios, dossiês, flags, scores de risco, “fila crítica”, “encerrados a revisar” e textos sugeridos para WhatsApp são apoios operacionais. A responsabilidade pela conferência humana, pelo contato com o cliente e pela estratégia do caso permanece integralmente com o LICENCIADO.</w:t>
      </w:r>
    </w:p>
    <w:p>
      <w:pPr>
        <w:spacing w:after="160" w:before="0" w:line="276" w:lineRule="auto"/>
        <w:ind w:firstLine="709"/>
        <w:jc w:val="both"/>
      </w:pPr>
      <w:r>
        <w:rPr>
          <w:rFonts w:ascii="Times New Roman" w:hAnsi="Times New Roman" w:eastAsia="Times New Roman"/>
          <w:b w:val="0"/>
          <w:sz w:val="22"/>
        </w:rPr>
        <w:t>3.3. Integrações com DataJud, DJEN e sistemas de tribunal dependem de disponibilidade, cotas, WAF, autenticação e políticas do órgão. Interrupção, HTML no lugar de JSON, código HTTP 429 ou mudança de contrato de API não geram indenização automática.</w:t>
      </w:r>
    </w:p>
    <w:p>
      <w:pPr>
        <w:spacing w:after="160" w:before="0" w:line="276" w:lineRule="auto"/>
        <w:ind w:firstLine="709"/>
        <w:jc w:val="both"/>
      </w:pPr>
      <w:r>
        <w:rPr>
          <w:rFonts w:ascii="Times New Roman" w:hAnsi="Times New Roman" w:eastAsia="Times New Roman"/>
          <w:b w:val="0"/>
          <w:sz w:val="22"/>
        </w:rPr>
        <w:t>3.4. O módulo financeiro/CRM de assessoria registra serviços extrajudiciais, audiências de apoio, intermediação de quitação, limpa-nome, PROCON e custo de banca terceira. Não é módulo de honorários advocatícios de sociedade de advogados, nem sistema de emissão de nota fiscal.</w:t>
      </w:r>
    </w:p>
    <w:p>
      <w:pPr>
        <w:spacing w:before="320" w:after="160"/>
        <w:ind w:firstLine="0"/>
      </w:pPr>
      <w:r>
        <w:rPr>
          <w:rFonts w:ascii="Times New Roman" w:hAnsi="Times New Roman" w:eastAsia="Times New Roman"/>
          <w:b/>
          <w:sz w:val="28"/>
        </w:rPr>
        <w:t>CLÁUSULA 4 — LICENÇA DE SOFTWARE (PROPRIETÁRIA)</w:t>
      </w:r>
    </w:p>
    <w:p>
      <w:pPr>
        <w:spacing w:after="160" w:before="0" w:line="276" w:lineRule="auto"/>
        <w:ind w:firstLine="709"/>
        <w:jc w:val="both"/>
      </w:pPr>
      <w:r>
        <w:rPr>
          <w:rFonts w:ascii="Times New Roman" w:hAnsi="Times New Roman" w:eastAsia="Times New Roman"/>
          <w:b w:val="0"/>
          <w:sz w:val="22"/>
        </w:rPr>
        <w:t>4.1. O programa de computador LexisPredict é obra protegida pela Lei nº 9.609/1998 e pela Lei nº 9.610/1998. O repositório visível em ambiente de desenvolvimento não altera a natureza proprietária da licença, salvo declaração expressa em contrário assinada pelo LICENCIANTE.</w:t>
      </w:r>
    </w:p>
    <w:p>
      <w:pPr>
        <w:spacing w:after="160" w:before="0" w:line="276" w:lineRule="auto"/>
        <w:ind w:firstLine="709"/>
        <w:jc w:val="both"/>
      </w:pPr>
      <w:r>
        <w:rPr>
          <w:rFonts w:ascii="Times New Roman" w:hAnsi="Times New Roman" w:eastAsia="Times New Roman"/>
          <w:b w:val="0"/>
          <w:sz w:val="22"/>
        </w:rPr>
        <w:t>4.2. Concede-se ao LICENCIADO licença não exclusiva, intransferível, revogável, limitada ao território brasileiro e ao prazo do plano, para uso da Plataforma em benefício da própria operação, no número de usuários e tenants contratados.</w:t>
      </w:r>
    </w:p>
    <w:p>
      <w:pPr>
        <w:spacing w:after="160" w:before="0" w:line="276" w:lineRule="auto"/>
        <w:ind w:firstLine="709"/>
        <w:jc w:val="both"/>
      </w:pPr>
      <w:r>
        <w:rPr>
          <w:rFonts w:ascii="Times New Roman" w:hAnsi="Times New Roman" w:eastAsia="Times New Roman"/>
          <w:b w:val="0"/>
          <w:sz w:val="22"/>
        </w:rPr>
        <w:t>4.3. É vedado: copiar o código para produto concorrente; sublicenciar; engenharia reversa salvo o permitido em lei; extrair modelos de peça para revendê-los como kit autônomo; remover créditos, marcas ou avisos; republicar dumps do banco ou da planilha com dados de terceiros.</w:t>
      </w:r>
    </w:p>
    <w:p>
      <w:pPr>
        <w:spacing w:after="160" w:before="0" w:line="276" w:lineRule="auto"/>
        <w:ind w:firstLine="709"/>
        <w:jc w:val="both"/>
      </w:pPr>
      <w:r>
        <w:rPr>
          <w:rFonts w:ascii="Times New Roman" w:hAnsi="Times New Roman" w:eastAsia="Times New Roman"/>
          <w:b w:val="0"/>
          <w:sz w:val="22"/>
        </w:rPr>
        <w:t>4.4. Atualizações, correções e lotes de interface não geram novo contrato, salvo mudança material de preço ou de finalidade, hipótese em que o uso continuado após aviso na própria Plataforma vale como aceitação da versão nova destes Termos.</w:t>
      </w:r>
    </w:p>
    <w:p>
      <w:pPr>
        <w:spacing w:after="160" w:before="0" w:line="276" w:lineRule="auto"/>
        <w:ind w:firstLine="709"/>
        <w:jc w:val="both"/>
      </w:pPr>
      <w:r>
        <w:rPr>
          <w:rFonts w:ascii="Times New Roman" w:hAnsi="Times New Roman" w:eastAsia="Times New Roman"/>
          <w:b w:val="0"/>
          <w:sz w:val="22"/>
        </w:rPr>
        <w:t>4.5. Componentes de terceiros (Next.js, bibliotecas de código aberto, fontes, ícones) permanecem sob as respectivas licenças. A licença deste instrumento cobre a obra coletiva e o código original do LICENCIANTE.</w:t>
      </w:r>
    </w:p>
    <w:p>
      <w:pPr>
        <w:spacing w:after="160" w:before="0" w:line="276" w:lineRule="auto"/>
        <w:ind w:firstLine="709"/>
        <w:jc w:val="both"/>
      </w:pPr>
      <w:r>
        <w:rPr>
          <w:rFonts w:ascii="Times New Roman" w:hAnsi="Times New Roman" w:eastAsia="Times New Roman"/>
          <w:b w:val="0"/>
          <w:sz w:val="22"/>
        </w:rPr>
        <w:t>4.6. Em caso de rescisão, cessa o direito de uso da instância em nuvem. Cópias locais, planilhas exportadas e PDFs gerados pelo LICENCIADO durante a vigência permanecem com o LICENCIADO, que assume o dever de guardar ou eliminar dados pessoais conforme a LGPD.</w:t>
      </w:r>
    </w:p>
    <w:p>
      <w:pPr>
        <w:spacing w:before="320" w:after="160"/>
        <w:ind w:firstLine="0"/>
      </w:pPr>
      <w:r>
        <w:rPr>
          <w:rFonts w:ascii="Times New Roman" w:hAnsi="Times New Roman" w:eastAsia="Times New Roman"/>
          <w:b/>
          <w:sz w:val="28"/>
        </w:rPr>
        <w:t>CLÁUSULA 5 — CONTAS, PERFIS E MODO SEGURANÇA</w:t>
      </w:r>
    </w:p>
    <w:p>
      <w:pPr>
        <w:spacing w:after="160" w:before="0" w:line="276" w:lineRule="auto"/>
        <w:ind w:firstLine="709"/>
        <w:jc w:val="both"/>
      </w:pPr>
      <w:r>
        <w:rPr>
          <w:rFonts w:ascii="Times New Roman" w:hAnsi="Times New Roman" w:eastAsia="Times New Roman"/>
          <w:b w:val="0"/>
          <w:sz w:val="22"/>
        </w:rPr>
        <w:t>5.1. Cada credencial é pessoal e intransferível. O titular da conta responde por atos praticados com sua senha, inclusive quando a senha estiver armazenada em hash na planilha de modo segurança.</w:t>
      </w:r>
    </w:p>
    <w:p>
      <w:pPr>
        <w:spacing w:after="160" w:before="0" w:line="276" w:lineRule="auto"/>
        <w:ind w:firstLine="709"/>
        <w:jc w:val="both"/>
      </w:pPr>
      <w:r>
        <w:rPr>
          <w:rFonts w:ascii="Times New Roman" w:hAnsi="Times New Roman" w:eastAsia="Times New Roman"/>
          <w:b w:val="0"/>
          <w:sz w:val="22"/>
        </w:rPr>
        <w:t>5.2. Perfis típicos: Operador (vê a própria fatia da carteira), Administrador e Supervisor (visão da empresa conforme configuração), Superadmin (administração técnica). A aba de processos da empresa pode, por desenho operacional, permitir edição de ficha sem transferência de titularidade (created_by).</w:t>
      </w:r>
    </w:p>
    <w:p>
      <w:pPr>
        <w:spacing w:after="160" w:before="0" w:line="276" w:lineRule="auto"/>
        <w:ind w:firstLine="709"/>
        <w:jc w:val="both"/>
      </w:pPr>
      <w:r>
        <w:rPr>
          <w:rFonts w:ascii="Times New Roman" w:hAnsi="Times New Roman" w:eastAsia="Times New Roman"/>
          <w:b w:val="0"/>
          <w:sz w:val="22"/>
        </w:rPr>
        <w:t>5.3. Quando o provedor de banco atingir cota, billing ou pane, a Plataforma pode operar em modo segurança: login pela aba Usuarios da planilha e leitura da aba Processos. Nesse regime as funções de scanner, IA, CRM avançado e tempo real podem ficar reduzidas ou suspensas, o que será informado em faixa visível.</w:t>
      </w:r>
    </w:p>
    <w:p>
      <w:pPr>
        <w:spacing w:after="160" w:before="0" w:line="276" w:lineRule="auto"/>
        <w:ind w:firstLine="709"/>
        <w:jc w:val="both"/>
      </w:pPr>
      <w:r>
        <w:rPr>
          <w:rFonts w:ascii="Times New Roman" w:hAnsi="Times New Roman" w:eastAsia="Times New Roman"/>
          <w:b w:val="0"/>
          <w:sz w:val="22"/>
        </w:rPr>
        <w:t>5.4. O LICENCIADO é o controlador da planilha operacional. Cabe-lhe restringir o compartilhamento do link, rotacionar o token do Apps Script e não versionar senha em texto claro.</w:t>
      </w:r>
    </w:p>
    <w:p>
      <w:pPr>
        <w:spacing w:after="160" w:before="0" w:line="276" w:lineRule="auto"/>
        <w:ind w:firstLine="709"/>
        <w:jc w:val="both"/>
      </w:pPr>
      <w:r>
        <w:rPr>
          <w:rFonts w:ascii="Times New Roman" w:hAnsi="Times New Roman" w:eastAsia="Times New Roman"/>
          <w:b w:val="0"/>
          <w:sz w:val="22"/>
        </w:rPr>
        <w:t>5.5. Sincronização bidirecional planilha ↔ banco, quando o serviço de banco retornar, não é garantia de espelhamento bit a bit. Conflitos de atendimento devem ser resolvidos pela regra operacional do LICENCIADO (data do último retorno humano prevalece sobre ruído de trigger).</w:t>
      </w:r>
    </w:p>
    <w:p>
      <w:pPr>
        <w:spacing w:before="320" w:after="160"/>
        <w:ind w:firstLine="0"/>
      </w:pPr>
      <w:r>
        <w:rPr>
          <w:rFonts w:ascii="Times New Roman" w:hAnsi="Times New Roman" w:eastAsia="Times New Roman"/>
          <w:b/>
          <w:sz w:val="28"/>
        </w:rPr>
        <w:t>CLÁUSULA 6 — REGIME JURÍDICO DOS DADOS PÚBLICOS JUDICIAIS</w:t>
      </w:r>
    </w:p>
    <w:p>
      <w:pPr>
        <w:spacing w:after="160" w:before="0" w:line="276" w:lineRule="auto"/>
        <w:ind w:firstLine="709"/>
        <w:jc w:val="both"/>
      </w:pPr>
      <w:r>
        <w:rPr>
          <w:rFonts w:ascii="Times New Roman" w:hAnsi="Times New Roman" w:eastAsia="Times New Roman"/>
          <w:b w:val="0"/>
          <w:sz w:val="22"/>
        </w:rPr>
        <w:t>6.1. O processo judicial, como regra, é público (CF/88, art. 5º, LX; CPC, art. 189 a contrario sensu). Publicidade processual não se confunde com autorização irrestrita para tratar dado pessoal da parte com finalidade comercial distinta da prestação do serviço já contratado.</w:t>
      </w:r>
    </w:p>
    <w:p>
      <w:pPr>
        <w:spacing w:after="160" w:before="0" w:line="276" w:lineRule="auto"/>
        <w:ind w:firstLine="709"/>
        <w:jc w:val="both"/>
      </w:pPr>
      <w:r>
        <w:rPr>
          <w:rFonts w:ascii="Times New Roman" w:hAnsi="Times New Roman" w:eastAsia="Times New Roman"/>
          <w:b w:val="0"/>
          <w:sz w:val="22"/>
        </w:rPr>
        <w:t>6.2. Fontes utilizadas ou utilizáveis pela Plataforma: (a) DataJud / Base Nacional de Dados do Poder Judiciário; (b) DJEN; (c) numeração CNJ digitada ou importada pelo próprio LICENCIADO; (d) planilhas e CSVs de carteira do LICENCIADO; (e) prints e OCR enviados pelo usuário. Cada fonte pode ter termo próprio do órgão. Em conflito, prevalece a norma mais restritiva do órgão sobre o conector técnico.</w:t>
      </w:r>
    </w:p>
    <w:p>
      <w:pPr>
        <w:spacing w:after="160" w:before="0" w:line="276" w:lineRule="auto"/>
        <w:ind w:firstLine="709"/>
        <w:jc w:val="both"/>
      </w:pPr>
      <w:r>
        <w:rPr>
          <w:rFonts w:ascii="Times New Roman" w:hAnsi="Times New Roman" w:eastAsia="Times New Roman"/>
          <w:b w:val="0"/>
          <w:sz w:val="22"/>
        </w:rPr>
        <w:t>6.3. O número CNJ, isoladamente, é identificador de processo e pode ser armazenado para (i) acompanhar caso de cliente com vínculo contratual ou pré-contratual lícito; (ii) estatística interna agregada (classe, tipo de extinção, tribunal, faixa temporal) sem lista nominal; (iii) classificação de movimento (extinção, cumprimento, publicação).</w:t>
      </w:r>
    </w:p>
    <w:p>
      <w:pPr>
        <w:spacing w:after="160" w:before="0" w:line="276" w:lineRule="auto"/>
        <w:ind w:firstLine="709"/>
        <w:jc w:val="both"/>
      </w:pPr>
      <w:r>
        <w:rPr>
          <w:rFonts w:ascii="Times New Roman" w:hAnsi="Times New Roman" w:eastAsia="Times New Roman"/>
          <w:b w:val="0"/>
          <w:sz w:val="22"/>
        </w:rPr>
        <w:t>6.4. O número CNJ deixa de ser “só estatística” e passa a ser ferramenta de potencial tratamento de dado pessoal quando for usado para localizar nome, telefone, endereço, CPF ou perfil em rede, com o fim de contato, oferta, cobrança ou enriquecimento de lead. Esse salto de finalidade exige base legal própria (art. 7º da LGPD) e, em regra, não se presume do mero fato de o andamento ser público.</w:t>
      </w:r>
    </w:p>
    <w:p>
      <w:pPr>
        <w:spacing w:after="160" w:before="0" w:line="276" w:lineRule="auto"/>
        <w:ind w:firstLine="709"/>
        <w:jc w:val="both"/>
      </w:pPr>
      <w:r>
        <w:rPr>
          <w:rFonts w:ascii="Times New Roman" w:hAnsi="Times New Roman" w:eastAsia="Times New Roman"/>
          <w:b w:val="0"/>
          <w:sz w:val="22"/>
        </w:rPr>
        <w:t>6.5. Segredo de justiça, segredo industrial, infância e juventude, violência doméstiva e demais hipóteses legais de sigilo estão fora do objeto. O LICENCIADO não deve ingestão consciente desses feitos na Plataforma. Se ingestão ocorrer por engano, deve excluir e comunicar o LICENCIANTE se o incidente atingir infraestrutura compartilhada.</w:t>
      </w:r>
    </w:p>
    <w:p>
      <w:pPr>
        <w:spacing w:after="160" w:before="0" w:line="276" w:lineRule="auto"/>
        <w:ind w:firstLine="709"/>
        <w:jc w:val="both"/>
      </w:pPr>
      <w:r>
        <w:rPr>
          <w:rFonts w:ascii="Times New Roman" w:hAnsi="Times New Roman" w:eastAsia="Times New Roman"/>
          <w:b w:val="0"/>
          <w:sz w:val="22"/>
        </w:rPr>
        <w:t>6.6. Publicação em diário oficial é ato de comunicação processual. O teor publicado pode conter nome da parte. A Plataforma pode exibir resumo ou link para o D.O. A reprodução integral e sistemática de acervos oficiais para fins de produto concorrente ao diário ou ao tribunal não é licenciada.</w:t>
      </w:r>
    </w:p>
    <w:p>
      <w:pPr>
        <w:spacing w:after="160" w:before="0" w:line="276" w:lineRule="auto"/>
        <w:ind w:firstLine="709"/>
        <w:jc w:val="both"/>
      </w:pPr>
      <w:r>
        <w:rPr>
          <w:rFonts w:ascii="Times New Roman" w:hAnsi="Times New Roman" w:eastAsia="Times New Roman"/>
          <w:b w:val="0"/>
          <w:sz w:val="22"/>
        </w:rPr>
        <w:t>6.7. Captura automática de tela de tribunal, robôs de clique e contorno de CAPTCHA são tecnicamente instáveis e juridicamente sensíveis. O LICENCIANTE não garante êxito contra WAF e não autoriza o LICENCIADO a usar a Plataforma para ataque, sobrecarga ou burla de medida de segurança de sítio oficial.</w:t>
      </w:r>
    </w:p>
    <w:p>
      <w:pPr>
        <w:spacing w:after="160" w:before="0" w:line="276" w:lineRule="auto"/>
        <w:ind w:firstLine="709"/>
        <w:jc w:val="both"/>
      </w:pPr>
      <w:r>
        <w:rPr>
          <w:rFonts w:ascii="Times New Roman" w:hAnsi="Times New Roman" w:eastAsia="Times New Roman"/>
          <w:b w:val="0"/>
          <w:sz w:val="22"/>
        </w:rPr>
        <w:t>6.8. Cotas, 429 e HTML no lugar de JSON são sinais de contenção da fonte. O LICENCIADO deve reduzir frequência, usar lote e privilegiar consulta pelo CNJ da própria carteira, em vez de varredura massiva de texto livre no DJEN para descobrir processos alheios.</w:t>
      </w:r>
    </w:p>
    <w:p>
      <w:pPr>
        <w:spacing w:before="320" w:after="160"/>
        <w:ind w:firstLine="0"/>
      </w:pPr>
      <w:r>
        <w:rPr>
          <w:rFonts w:ascii="Times New Roman" w:hAnsi="Times New Roman" w:eastAsia="Times New Roman"/>
          <w:b/>
          <w:sz w:val="28"/>
        </w:rPr>
        <w:t>CLÁUSULA 7 — FINALIDADES LÍCITAS E FINALIDADES VEDADAS</w:t>
      </w:r>
    </w:p>
    <w:p>
      <w:pPr>
        <w:spacing w:after="160" w:before="0" w:line="276" w:lineRule="auto"/>
        <w:ind w:firstLine="709"/>
        <w:jc w:val="both"/>
      </w:pPr>
      <w:r>
        <w:rPr>
          <w:rFonts w:ascii="Times New Roman" w:hAnsi="Times New Roman" w:eastAsia="Times New Roman"/>
          <w:b w:val="0"/>
          <w:sz w:val="22"/>
        </w:rPr>
        <w:t>7.1. Finalidades lícitas, desde que o LICENCIADO tenha relação com o titular ou outra base legal: gestão de carteira de clientes da assessoria; controle de prazo e retorno; redação de peça e rascunho de atendimento; auditoria interna de baixas e encerramentos; produção de dossiê gerencial; estatística agregada de extinção sem mérito ou de classe processual, sem oferta à parte desconhecida.</w:t>
      </w:r>
    </w:p>
    <w:p>
      <w:pPr>
        <w:spacing w:after="160" w:before="0" w:line="276" w:lineRule="auto"/>
        <w:ind w:firstLine="709"/>
        <w:jc w:val="both"/>
      </w:pPr>
      <w:r>
        <w:rPr>
          <w:rFonts w:ascii="Times New Roman" w:hAnsi="Times New Roman" w:eastAsia="Times New Roman"/>
          <w:b w:val="0"/>
          <w:sz w:val="22"/>
        </w:rPr>
        <w:t>7.2. O módulo “gerador de processos automáticos” / amostragem de números CNJ, quando existir, destina-se a estudo interno de máscara, distribuição geográfica e taxa de classe — não a montagem de lista de prospecção. Números gerados ou coletados nesse módulo não devem ser cruzados com telefone, e-mail ou CPF para oferta.</w:t>
      </w:r>
    </w:p>
    <w:p>
      <w:pPr>
        <w:spacing w:after="160" w:before="0" w:line="276" w:lineRule="auto"/>
        <w:ind w:firstLine="709"/>
        <w:jc w:val="both"/>
      </w:pPr>
      <w:r>
        <w:rPr>
          <w:rFonts w:ascii="Times New Roman" w:hAnsi="Times New Roman" w:eastAsia="Times New Roman"/>
          <w:b w:val="0"/>
          <w:sz w:val="22"/>
        </w:rPr>
        <w:t>7.3. Vedado: vender, alugar ou permutar base de CNJ com nome e telefone; usar andamento público para assédio comercial; imputar ao tribunal ou ao CNJ endosso à oferta da assessoria; apresentar flag automático como “mandado de busca e apreensão confirmado” sem leitura humana do inteiro teor e da classe; reidentificar titular de estatística agregada.</w:t>
      </w:r>
    </w:p>
    <w:p>
      <w:pPr>
        <w:spacing w:after="160" w:before="0" w:line="276" w:lineRule="auto"/>
        <w:ind w:firstLine="709"/>
        <w:jc w:val="both"/>
      </w:pPr>
      <w:r>
        <w:rPr>
          <w:rFonts w:ascii="Times New Roman" w:hAnsi="Times New Roman" w:eastAsia="Times New Roman"/>
          <w:b w:val="0"/>
          <w:sz w:val="22"/>
        </w:rPr>
        <w:t>7.4. Comunicação com cliente da carteira (WhatsApp, telefone, e-mail) pressupõe relação já existente ou consentimento/legítimo interesse devidamente avaliado pelo LICENCIADO. Scripts sugeridos pela Plataforma não criam, por si, base legal.</w:t>
      </w:r>
    </w:p>
    <w:p>
      <w:pPr>
        <w:spacing w:before="320" w:after="160"/>
        <w:ind w:firstLine="0"/>
      </w:pPr>
      <w:r>
        <w:rPr>
          <w:rFonts w:ascii="Times New Roman" w:hAnsi="Times New Roman" w:eastAsia="Times New Roman"/>
          <w:b/>
          <w:sz w:val="28"/>
        </w:rPr>
        <w:t>CLÁUSULA 8 — LGPD: PAPÉIS, BASES E DIREITOS</w:t>
      </w:r>
    </w:p>
    <w:p>
      <w:pPr>
        <w:spacing w:after="160" w:before="0" w:line="276" w:lineRule="auto"/>
        <w:ind w:firstLine="709"/>
        <w:jc w:val="both"/>
      </w:pPr>
      <w:r>
        <w:rPr>
          <w:rFonts w:ascii="Times New Roman" w:hAnsi="Times New Roman" w:eastAsia="Times New Roman"/>
          <w:b w:val="0"/>
          <w:sz w:val="22"/>
        </w:rPr>
        <w:t>8.1. Em regra, o LICENCIADO é controlador dos dados da sua carteira (clientes, telefones, atendimentos, planilha). O LICENCIANTE atua como operador quando hospeda a instância em nuvem, nos limites da infraestrutura contratada.</w:t>
      </w:r>
    </w:p>
    <w:p>
      <w:pPr>
        <w:spacing w:after="160" w:before="0" w:line="276" w:lineRule="auto"/>
        <w:ind w:firstLine="709"/>
        <w:jc w:val="both"/>
      </w:pPr>
      <w:r>
        <w:rPr>
          <w:rFonts w:ascii="Times New Roman" w:hAnsi="Times New Roman" w:eastAsia="Times New Roman"/>
          <w:b w:val="0"/>
          <w:sz w:val="22"/>
        </w:rPr>
        <w:t>8.2. No modo segurança e na variante offline, o LICENCIADO concentra a guarda (planilha, arquivo local). O LICENCIANTE não acessa o conteúdo salvo se chamado a suporte e com autorização pontual.</w:t>
      </w:r>
    </w:p>
    <w:p>
      <w:pPr>
        <w:spacing w:after="160" w:before="0" w:line="276" w:lineRule="auto"/>
        <w:ind w:firstLine="709"/>
        <w:jc w:val="both"/>
      </w:pPr>
      <w:r>
        <w:rPr>
          <w:rFonts w:ascii="Times New Roman" w:hAnsi="Times New Roman" w:eastAsia="Times New Roman"/>
          <w:b w:val="0"/>
          <w:sz w:val="22"/>
        </w:rPr>
        <w:t>8.3. Bases legais típicas do controlador-LICENCIADO: execução de contrato ou de procedimentos preliminares (art. 7º, V); cumprimento de obrigação legal; exercício regular de direito em processo; legítimo interesse (art. 7º, IX) apenas após teste de proporcionalidade, jamais para spam.</w:t>
      </w:r>
    </w:p>
    <w:p>
      <w:pPr>
        <w:spacing w:after="160" w:before="0" w:line="276" w:lineRule="auto"/>
        <w:ind w:firstLine="709"/>
        <w:jc w:val="both"/>
      </w:pPr>
      <w:r>
        <w:rPr>
          <w:rFonts w:ascii="Times New Roman" w:hAnsi="Times New Roman" w:eastAsia="Times New Roman"/>
          <w:b w:val="0"/>
          <w:sz w:val="22"/>
        </w:rPr>
        <w:t>8.4. O LICENCIADO atenderá pedidos de titular (acesso, correção, eliminação, oposição) relativos à própria carteira. O LICENCIANTE encaminhará ao LICENCIADO, em prazo razoável, requisição que chegue ao contato oficial e diga respeito a tenant identificável.</w:t>
      </w:r>
    </w:p>
    <w:p>
      <w:pPr>
        <w:spacing w:after="160" w:before="0" w:line="276" w:lineRule="auto"/>
        <w:ind w:firstLine="709"/>
        <w:jc w:val="both"/>
      </w:pPr>
      <w:r>
        <w:rPr>
          <w:rFonts w:ascii="Times New Roman" w:hAnsi="Times New Roman" w:eastAsia="Times New Roman"/>
          <w:b w:val="0"/>
          <w:sz w:val="22"/>
        </w:rPr>
        <w:t>8.5. Transferência internacional pode ocorrer por provedores de nuvem (hospedagem, e-mail, objeto de storage). O LICENCIANTE adotará fornecedores com cláusula contratual usual de mercado; o LICENCIADO deve informar seus clientes se a política interna da assessoria o exigir.</w:t>
      </w:r>
    </w:p>
    <w:p>
      <w:pPr>
        <w:spacing w:after="160" w:before="0" w:line="276" w:lineRule="auto"/>
        <w:ind w:firstLine="709"/>
        <w:jc w:val="both"/>
      </w:pPr>
      <w:r>
        <w:rPr>
          <w:rFonts w:ascii="Times New Roman" w:hAnsi="Times New Roman" w:eastAsia="Times New Roman"/>
          <w:b w:val="0"/>
          <w:sz w:val="22"/>
        </w:rPr>
        <w:t>8.6. Retenção: processos ativos enquanto durar a prestação; encerrados pelo prazo prescricional e de guarda documental que o LICENCIADO definir (recomendação operacional mínima: 5 anos de metadados de atendimento). Logs técnicos de scan podem ser enxugados antes.</w:t>
      </w:r>
    </w:p>
    <w:p>
      <w:pPr>
        <w:spacing w:after="160" w:before="0" w:line="276" w:lineRule="auto"/>
        <w:ind w:firstLine="709"/>
        <w:jc w:val="both"/>
      </w:pPr>
      <w:r>
        <w:rPr>
          <w:rFonts w:ascii="Times New Roman" w:hAnsi="Times New Roman" w:eastAsia="Times New Roman"/>
          <w:b w:val="0"/>
          <w:sz w:val="22"/>
        </w:rPr>
        <w:t>8.7. Incidente de segurança será comunicado pelo LICENCIANTE ao LICENCIADO quando atingir dados sob guarda da nuvem. A comunicação à ANPD e aos titulares, quando devida, é ônus do controlador, com apoio razoável do operador.</w:t>
      </w:r>
    </w:p>
    <w:p>
      <w:pPr>
        <w:spacing w:before="320" w:after="160"/>
        <w:ind w:firstLine="0"/>
      </w:pPr>
      <w:r>
        <w:rPr>
          <w:rFonts w:ascii="Times New Roman" w:hAnsi="Times New Roman" w:eastAsia="Times New Roman"/>
          <w:b/>
          <w:sz w:val="28"/>
        </w:rPr>
        <w:t>CLÁUSULA 9 — INTELIGÊNCIA ARTIFICIAL, HEURÍSTICAS E PEÇAS</w:t>
      </w:r>
    </w:p>
    <w:p>
      <w:pPr>
        <w:spacing w:after="160" w:before="0" w:line="276" w:lineRule="auto"/>
        <w:ind w:firstLine="709"/>
        <w:jc w:val="both"/>
      </w:pPr>
      <w:r>
        <w:rPr>
          <w:rFonts w:ascii="Times New Roman" w:hAnsi="Times New Roman" w:eastAsia="Times New Roman"/>
          <w:b w:val="0"/>
          <w:sz w:val="22"/>
        </w:rPr>
        <w:t>9.1. Motores de linguagem e cascatas de roteamento (quando habilitados) geram texto auxiliar. Saída de modelo não é peça protocolável sem revisão de responsável habilitado. Erro de classificação (falso positivo de busca e apreensão, encerramento indevido, “solicitar nº do processo”) deve ser corrigido na ficha pela equipe.</w:t>
      </w:r>
    </w:p>
    <w:p>
      <w:pPr>
        <w:spacing w:after="160" w:before="0" w:line="276" w:lineRule="auto"/>
        <w:ind w:firstLine="709"/>
        <w:jc w:val="both"/>
      </w:pPr>
      <w:r>
        <w:rPr>
          <w:rFonts w:ascii="Times New Roman" w:hAnsi="Times New Roman" w:eastAsia="Times New Roman"/>
          <w:b w:val="0"/>
          <w:sz w:val="22"/>
        </w:rPr>
        <w:t>9.2. A Plataforma pode recusar encerramento automático de carteira quando houver indício de procedência, cumprimento de sentença ou utilidade residual do feito. Essa trava é medida de mitigação, não garantia de acerto.</w:t>
      </w:r>
    </w:p>
    <w:p>
      <w:pPr>
        <w:spacing w:after="160" w:before="0" w:line="276" w:lineRule="auto"/>
        <w:ind w:firstLine="709"/>
        <w:jc w:val="both"/>
      </w:pPr>
      <w:r>
        <w:rPr>
          <w:rFonts w:ascii="Times New Roman" w:hAnsi="Times New Roman" w:eastAsia="Times New Roman"/>
          <w:b w:val="0"/>
          <w:sz w:val="22"/>
        </w:rPr>
        <w:t>9.3. Modelos de procuração, habilitação, substabelecimento e congêneres são templates. A inclusão ou omissão de nome e CNPJ de instituição financeira é opção do usuário e não gera responsabilidade do LICENCIANTE por estratégia processual.</w:t>
      </w:r>
    </w:p>
    <w:p>
      <w:pPr>
        <w:spacing w:after="160" w:before="0" w:line="276" w:lineRule="auto"/>
        <w:ind w:firstLine="709"/>
        <w:jc w:val="both"/>
      </w:pPr>
      <w:r>
        <w:rPr>
          <w:rFonts w:ascii="Times New Roman" w:hAnsi="Times New Roman" w:eastAsia="Times New Roman"/>
          <w:b w:val="0"/>
          <w:sz w:val="22"/>
        </w:rPr>
        <w:t>9.4. É proibido inserir nas instruções de modelo dado sensível desnecessário ou segredo de justiça.</w:t>
      </w:r>
    </w:p>
    <w:p>
      <w:pPr>
        <w:spacing w:before="320" w:after="160"/>
        <w:ind w:firstLine="0"/>
      </w:pPr>
      <w:r>
        <w:rPr>
          <w:rFonts w:ascii="Times New Roman" w:hAnsi="Times New Roman" w:eastAsia="Times New Roman"/>
          <w:b/>
          <w:sz w:val="28"/>
        </w:rPr>
        <w:t>CLÁUSULA 10 — PROPRIEDADE INTELECTUAL E MARCAS</w:t>
      </w:r>
    </w:p>
    <w:p>
      <w:pPr>
        <w:spacing w:after="160" w:before="0" w:line="276" w:lineRule="auto"/>
        <w:ind w:firstLine="709"/>
        <w:jc w:val="both"/>
      </w:pPr>
      <w:r>
        <w:rPr>
          <w:rFonts w:ascii="Times New Roman" w:hAnsi="Times New Roman" w:eastAsia="Times New Roman"/>
          <w:b w:val="0"/>
          <w:sz w:val="22"/>
        </w:rPr>
        <w:t>10.1. Marca, layout, copy de interface, dossiê, estrutura de banco e fluxos de fila são do LICENCIANTE, ressalvado o conteúdo do LICENCIADO (nomes de clientes, peças próprias, planilha).</w:t>
      </w:r>
    </w:p>
    <w:p>
      <w:pPr>
        <w:spacing w:after="160" w:before="0" w:line="276" w:lineRule="auto"/>
        <w:ind w:firstLine="709"/>
        <w:jc w:val="both"/>
      </w:pPr>
      <w:r>
        <w:rPr>
          <w:rFonts w:ascii="Times New Roman" w:hAnsi="Times New Roman" w:eastAsia="Times New Roman"/>
          <w:b w:val="0"/>
          <w:sz w:val="22"/>
        </w:rPr>
        <w:t>10.2. O LICENCIADO autoriza o uso de indicadores agregados e anonimizados (volume de carteira, taxa de atendimento) para melhoria do produto, nunca a publicação de nome de cliente sem autorização.</w:t>
      </w:r>
    </w:p>
    <w:p>
      <w:pPr>
        <w:spacing w:after="160" w:before="0" w:line="276" w:lineRule="auto"/>
        <w:ind w:firstLine="709"/>
        <w:jc w:val="both"/>
      </w:pPr>
      <w:r>
        <w:rPr>
          <w:rFonts w:ascii="Times New Roman" w:hAnsi="Times New Roman" w:eastAsia="Times New Roman"/>
          <w:b w:val="0"/>
          <w:sz w:val="22"/>
        </w:rPr>
        <w:t>10.3. “Astrea” e demais marcas de terceiros são de seus titulares. Menções comparativas em material interno não geram afiliação.</w:t>
      </w:r>
    </w:p>
    <w:p>
      <w:pPr>
        <w:spacing w:before="320" w:after="160"/>
        <w:ind w:firstLine="0"/>
      </w:pPr>
      <w:r>
        <w:rPr>
          <w:rFonts w:ascii="Times New Roman" w:hAnsi="Times New Roman" w:eastAsia="Times New Roman"/>
          <w:b/>
          <w:sz w:val="28"/>
        </w:rPr>
        <w:t>CLÁUSULA 11 — NÍVEL DE SERVIÇO, COTA E LIMITAÇÕES TÉCNICAS</w:t>
      </w:r>
    </w:p>
    <w:p>
      <w:pPr>
        <w:spacing w:after="160" w:before="0" w:line="276" w:lineRule="auto"/>
        <w:ind w:firstLine="709"/>
        <w:jc w:val="both"/>
      </w:pPr>
      <w:r>
        <w:rPr>
          <w:rFonts w:ascii="Times New Roman" w:hAnsi="Times New Roman" w:eastAsia="Times New Roman"/>
          <w:b w:val="0"/>
          <w:sz w:val="22"/>
        </w:rPr>
        <w:t>11.1. Não há SLA de disponibilidade 99,9% neste instrumento, salvo aditivo escrito. Planos gratuitos de nuvem (Vercel, Supabase Hobby e equivalentes) podem suspender serviço por cota de egresso, billing ou quota de CPU.</w:t>
      </w:r>
    </w:p>
    <w:p>
      <w:pPr>
        <w:spacing w:after="160" w:before="0" w:line="276" w:lineRule="auto"/>
        <w:ind w:firstLine="709"/>
        <w:jc w:val="both"/>
      </w:pPr>
      <w:r>
        <w:rPr>
          <w:rFonts w:ascii="Times New Roman" w:hAnsi="Times New Roman" w:eastAsia="Times New Roman"/>
          <w:b w:val="0"/>
          <w:sz w:val="22"/>
        </w:rPr>
        <w:t>11.2. A faixa “banco de dados desativado” descreve fato técnico. O LICENCIANTE envidará esforço razoável para o modo segurança, sem assegurar paridade de funções.</w:t>
      </w:r>
    </w:p>
    <w:p>
      <w:pPr>
        <w:spacing w:after="160" w:before="0" w:line="276" w:lineRule="auto"/>
        <w:ind w:firstLine="709"/>
        <w:jc w:val="both"/>
      </w:pPr>
      <w:r>
        <w:rPr>
          <w:rFonts w:ascii="Times New Roman" w:hAnsi="Times New Roman" w:eastAsia="Times New Roman"/>
          <w:b w:val="0"/>
          <w:sz w:val="22"/>
        </w:rPr>
        <w:t>11.3. WhatsApp não oficial, Evolution API e bibliotecas de sessão Web não são canais homologados pela Meta. Risco de banimento da conta de mensageria é do LICENCIADO. A Plataforma pode incluir atrasos e acordos de sessão; isso reduz, não elimina, o risco.</w:t>
      </w:r>
    </w:p>
    <w:p>
      <w:pPr>
        <w:spacing w:after="160" w:before="0" w:line="276" w:lineRule="auto"/>
        <w:ind w:firstLine="709"/>
        <w:jc w:val="both"/>
      </w:pPr>
      <w:r>
        <w:rPr>
          <w:rFonts w:ascii="Times New Roman" w:hAnsi="Times New Roman" w:eastAsia="Times New Roman"/>
          <w:b w:val="0"/>
          <w:sz w:val="22"/>
        </w:rPr>
        <w:t>11.4. Backup é dever compartilhado: o LICENCIANTE backup da nuvem quando o plano de infraestrutura o permitir; o LICENCIADO exporta planilha e dossiê com periodicidade própria.</w:t>
      </w:r>
    </w:p>
    <w:p>
      <w:pPr>
        <w:spacing w:before="320" w:after="160"/>
        <w:ind w:firstLine="0"/>
      </w:pPr>
      <w:r>
        <w:rPr>
          <w:rFonts w:ascii="Times New Roman" w:hAnsi="Times New Roman" w:eastAsia="Times New Roman"/>
          <w:b/>
          <w:sz w:val="28"/>
        </w:rPr>
        <w:t>CLÁUSULA 12 — RESPONSABILIDADES E INDENIZAÇÃO</w:t>
      </w:r>
    </w:p>
    <w:p>
      <w:pPr>
        <w:spacing w:after="160" w:before="0" w:line="276" w:lineRule="auto"/>
        <w:ind w:firstLine="709"/>
        <w:jc w:val="both"/>
      </w:pPr>
      <w:r>
        <w:rPr>
          <w:rFonts w:ascii="Times New Roman" w:hAnsi="Times New Roman" w:eastAsia="Times New Roman"/>
          <w:b w:val="0"/>
          <w:sz w:val="22"/>
        </w:rPr>
        <w:t>12.1. O LICENCIADO responde por: qualidade do cadastro; legalidade do contato com titulares; conferência de flags; uso do gerador de CNJ; conteúdo da planilha; credenciais da equipe; respeito a sigilo processual.</w:t>
      </w:r>
    </w:p>
    <w:p>
      <w:pPr>
        <w:spacing w:after="160" w:before="0" w:line="276" w:lineRule="auto"/>
        <w:ind w:firstLine="709"/>
        <w:jc w:val="both"/>
      </w:pPr>
      <w:r>
        <w:rPr>
          <w:rFonts w:ascii="Times New Roman" w:hAnsi="Times New Roman" w:eastAsia="Times New Roman"/>
          <w:b w:val="0"/>
          <w:sz w:val="22"/>
        </w:rPr>
        <w:t>12.2. O LICENCIANTE responde por dolo ou culpa grave na guarda da infraestrutura que estiver sob seu controle direto. Não responde por decisão comercial do LICENCIADO, por interpretação errada de andamento, por WAF de tribunal, nem por ato de operador da equipe do LICENCIADO.</w:t>
      </w:r>
    </w:p>
    <w:p>
      <w:pPr>
        <w:spacing w:after="160" w:before="0" w:line="276" w:lineRule="auto"/>
        <w:ind w:firstLine="709"/>
        <w:jc w:val="both"/>
      </w:pPr>
      <w:r>
        <w:rPr>
          <w:rFonts w:ascii="Times New Roman" w:hAnsi="Times New Roman" w:eastAsia="Times New Roman"/>
          <w:b w:val="0"/>
          <w:sz w:val="22"/>
        </w:rPr>
        <w:t>12.3. Na máxima extensão permitida, a responsabilidade civil do LICENCIANTE por danos indiretos, lucros cessantes e “perda de uma chance” fica limitada ao valor efetivamente pago pelo LICENCIADO nos três meses anteriores ao evento, ou a um salário mínimo nacional vigente se o uso for gratuito.</w:t>
      </w:r>
    </w:p>
    <w:p>
      <w:pPr>
        <w:spacing w:after="160" w:before="0" w:line="276" w:lineRule="auto"/>
        <w:ind w:firstLine="709"/>
        <w:jc w:val="both"/>
      </w:pPr>
      <w:r>
        <w:rPr>
          <w:rFonts w:ascii="Times New Roman" w:hAnsi="Times New Roman" w:eastAsia="Times New Roman"/>
          <w:b w:val="0"/>
          <w:sz w:val="22"/>
        </w:rPr>
        <w:t>12.4. O LICENCIADO indenizará o LICENCIANTE de pretensões de terceiros decorrentes de prospecção ilícita, spam, uso de segredo de justiça ou violação de termo de API pública.</w:t>
      </w:r>
    </w:p>
    <w:p>
      <w:pPr>
        <w:spacing w:before="320" w:after="160"/>
        <w:ind w:firstLine="0"/>
      </w:pPr>
      <w:r>
        <w:rPr>
          <w:rFonts w:ascii="Times New Roman" w:hAnsi="Times New Roman" w:eastAsia="Times New Roman"/>
          <w:b/>
          <w:sz w:val="28"/>
        </w:rPr>
        <w:t>CLÁUSULA 13 — GARANTIAS E EXCLUSÕES</w:t>
      </w:r>
    </w:p>
    <w:p>
      <w:pPr>
        <w:spacing w:after="160" w:before="0" w:line="276" w:lineRule="auto"/>
        <w:ind w:firstLine="709"/>
        <w:jc w:val="both"/>
      </w:pPr>
      <w:r>
        <w:rPr>
          <w:rFonts w:ascii="Times New Roman" w:hAnsi="Times New Roman" w:eastAsia="Times New Roman"/>
          <w:b w:val="0"/>
          <w:sz w:val="22"/>
        </w:rPr>
        <w:t>13.1. A Plataforma é fornecida “no estado em que se encontra”, com esforço de correção contínua. Não se garante que o score de risco, o total da carteira ou o rótulo de encerrado coincidam com o sistema do tribunal em tempo real.</w:t>
      </w:r>
    </w:p>
    <w:p>
      <w:pPr>
        <w:spacing w:after="160" w:before="0" w:line="276" w:lineRule="auto"/>
        <w:ind w:firstLine="709"/>
        <w:jc w:val="both"/>
      </w:pPr>
      <w:r>
        <w:rPr>
          <w:rFonts w:ascii="Times New Roman" w:hAnsi="Times New Roman" w:eastAsia="Times New Roman"/>
          <w:b w:val="0"/>
          <w:sz w:val="22"/>
        </w:rPr>
        <w:t>13.2. Divergência entre dashboard e dossiê, entre máquinas ou entre planilha e banco, deve ser tratada como incidente operacional a saneamento, não como certidão.</w:t>
      </w:r>
    </w:p>
    <w:p>
      <w:pPr>
        <w:spacing w:after="160" w:before="0" w:line="276" w:lineRule="auto"/>
        <w:ind w:firstLine="709"/>
        <w:jc w:val="both"/>
      </w:pPr>
      <w:r>
        <w:rPr>
          <w:rFonts w:ascii="Times New Roman" w:hAnsi="Times New Roman" w:eastAsia="Times New Roman"/>
          <w:b w:val="0"/>
          <w:sz w:val="22"/>
        </w:rPr>
        <w:t>13.3. Nada neste texto é consultoria jurídica ao LICENCIADO sobre o mérito dos feitos de seus clientes.</w:t>
      </w:r>
    </w:p>
    <w:p>
      <w:pPr>
        <w:spacing w:before="320" w:after="160"/>
        <w:ind w:firstLine="0"/>
      </w:pPr>
      <w:r>
        <w:rPr>
          <w:rFonts w:ascii="Times New Roman" w:hAnsi="Times New Roman" w:eastAsia="Times New Roman"/>
          <w:b/>
          <w:sz w:val="28"/>
        </w:rPr>
        <w:t>CLÁUSULA 14 — CONFIABILIDADE COMERCIAL E SIGILO OPERACIONAL</w:t>
      </w:r>
    </w:p>
    <w:p>
      <w:pPr>
        <w:spacing w:after="160" w:before="0" w:line="276" w:lineRule="auto"/>
        <w:ind w:firstLine="709"/>
        <w:jc w:val="both"/>
      </w:pPr>
      <w:r>
        <w:rPr>
          <w:rFonts w:ascii="Times New Roman" w:hAnsi="Times New Roman" w:eastAsia="Times New Roman"/>
          <w:b w:val="0"/>
          <w:sz w:val="22"/>
        </w:rPr>
        <w:t>14.1. As partes manterão sigilo sobre senhas, tokens de webhook, chaves de API, hashes de planilha e dumps de carteira.</w:t>
      </w:r>
    </w:p>
    <w:p>
      <w:pPr>
        <w:spacing w:after="160" w:before="0" w:line="276" w:lineRule="auto"/>
        <w:ind w:firstLine="709"/>
        <w:jc w:val="both"/>
      </w:pPr>
      <w:r>
        <w:rPr>
          <w:rFonts w:ascii="Times New Roman" w:hAnsi="Times New Roman" w:eastAsia="Times New Roman"/>
          <w:b w:val="0"/>
          <w:sz w:val="22"/>
        </w:rPr>
        <w:t>14.2. Demonstrações a investidor ou a parceiro só podem usar números agregados ou dados fictícios, salvo autorização do titular e do controlador.</w:t>
      </w:r>
    </w:p>
    <w:p>
      <w:pPr>
        <w:spacing w:before="320" w:after="160"/>
        <w:ind w:firstLine="0"/>
      </w:pPr>
      <w:r>
        <w:rPr>
          <w:rFonts w:ascii="Times New Roman" w:hAnsi="Times New Roman" w:eastAsia="Times New Roman"/>
          <w:b/>
          <w:sz w:val="28"/>
        </w:rPr>
        <w:t>CLÁUSULA 15 — PREÇO, PLANOS E SUSPENSÃO</w:t>
      </w:r>
    </w:p>
    <w:p>
      <w:pPr>
        <w:spacing w:after="160" w:before="0" w:line="276" w:lineRule="auto"/>
        <w:ind w:firstLine="709"/>
        <w:jc w:val="both"/>
      </w:pPr>
      <w:r>
        <w:rPr>
          <w:rFonts w:ascii="Times New Roman" w:hAnsi="Times New Roman" w:eastAsia="Times New Roman"/>
          <w:b w:val="0"/>
          <w:sz w:val="22"/>
        </w:rPr>
        <w:t>15.1. Preços, periodicidade mensal ou anual e limites de módulo constam da tabela de planos vigente na Plataforma ou em proposta. Upgrade e downgrade seguem a regra ali publicada.</w:t>
      </w:r>
    </w:p>
    <w:p>
      <w:pPr>
        <w:spacing w:after="160" w:before="0" w:line="276" w:lineRule="auto"/>
        <w:ind w:firstLine="709"/>
        <w:jc w:val="both"/>
      </w:pPr>
      <w:r>
        <w:rPr>
          <w:rFonts w:ascii="Times New Roman" w:hAnsi="Times New Roman" w:eastAsia="Times New Roman"/>
          <w:b w:val="0"/>
          <w:sz w:val="22"/>
        </w:rPr>
        <w:t>15.2. Inadimplemento, abuso de scanner, ataque à infraestrutura ou uso para prospecção vedada autorizam suspensão cautelar da conta, com preservação de exportação razoável dos dados do controlador.</w:t>
      </w:r>
    </w:p>
    <w:p>
      <w:pPr>
        <w:spacing w:before="320" w:after="160"/>
        <w:ind w:firstLine="0"/>
      </w:pPr>
      <w:r>
        <w:rPr>
          <w:rFonts w:ascii="Times New Roman" w:hAnsi="Times New Roman" w:eastAsia="Times New Roman"/>
          <w:b/>
          <w:sz w:val="28"/>
        </w:rPr>
        <w:t>CLÁUSULA 16 — RESCISÃO</w:t>
      </w:r>
    </w:p>
    <w:p>
      <w:pPr>
        <w:spacing w:after="160" w:before="0" w:line="276" w:lineRule="auto"/>
        <w:ind w:firstLine="709"/>
        <w:jc w:val="both"/>
      </w:pPr>
      <w:r>
        <w:rPr>
          <w:rFonts w:ascii="Times New Roman" w:hAnsi="Times New Roman" w:eastAsia="Times New Roman"/>
          <w:b w:val="0"/>
          <w:sz w:val="22"/>
        </w:rPr>
        <w:t>16.1. Qualquer das partes pode denunciar o uso, por escrito (inclusive e-mail do contato oficial), com efeito imediato nos planos mensais sem fidelidade, ou ao fim do ciclo anual já pago.</w:t>
      </w:r>
    </w:p>
    <w:p>
      <w:pPr>
        <w:spacing w:after="160" w:before="0" w:line="276" w:lineRule="auto"/>
        <w:ind w:firstLine="709"/>
        <w:jc w:val="both"/>
      </w:pPr>
      <w:r>
        <w:rPr>
          <w:rFonts w:ascii="Times New Roman" w:hAnsi="Times New Roman" w:eastAsia="Times New Roman"/>
          <w:b w:val="0"/>
          <w:sz w:val="22"/>
        </w:rPr>
        <w:t>16.2. Subsistem após o término: propriedade intelectual, sigilo, limitações de responsabilidade, deveres de eliminação/guarda de dado pessoal e foro.</w:t>
      </w:r>
    </w:p>
    <w:p>
      <w:pPr>
        <w:spacing w:before="320" w:after="160"/>
        <w:ind w:firstLine="0"/>
      </w:pPr>
      <w:r>
        <w:rPr>
          <w:rFonts w:ascii="Times New Roman" w:hAnsi="Times New Roman" w:eastAsia="Times New Roman"/>
          <w:b/>
          <w:sz w:val="28"/>
        </w:rPr>
        <w:t>CLÁUSULA 17 — DISPOSIÇÕES GERAIS</w:t>
      </w:r>
    </w:p>
    <w:p>
      <w:pPr>
        <w:spacing w:after="160" w:before="0" w:line="276" w:lineRule="auto"/>
        <w:ind w:firstLine="709"/>
        <w:jc w:val="both"/>
      </w:pPr>
      <w:r>
        <w:rPr>
          <w:rFonts w:ascii="Times New Roman" w:hAnsi="Times New Roman" w:eastAsia="Times New Roman"/>
          <w:b w:val="0"/>
          <w:sz w:val="22"/>
        </w:rPr>
        <w:t>17.1. Nullidade de uma cláusula não contamina o restante. A cláusula nula será substituída pela interpretação que melhor preserve o equilíbrio e a legalidade do tratamento de dados.</w:t>
      </w:r>
    </w:p>
    <w:p>
      <w:pPr>
        <w:spacing w:after="160" w:before="0" w:line="276" w:lineRule="auto"/>
        <w:ind w:firstLine="709"/>
        <w:jc w:val="both"/>
      </w:pPr>
      <w:r>
        <w:rPr>
          <w:rFonts w:ascii="Times New Roman" w:hAnsi="Times New Roman" w:eastAsia="Times New Roman"/>
          <w:b w:val="0"/>
          <w:sz w:val="22"/>
        </w:rPr>
        <w:t>17.2. A omissão no exercício de um direito não é renúncia.</w:t>
      </w:r>
    </w:p>
    <w:p>
      <w:pPr>
        <w:spacing w:after="160" w:before="0" w:line="276" w:lineRule="auto"/>
        <w:ind w:firstLine="709"/>
        <w:jc w:val="both"/>
      </w:pPr>
      <w:r>
        <w:rPr>
          <w:rFonts w:ascii="Times New Roman" w:hAnsi="Times New Roman" w:eastAsia="Times New Roman"/>
          <w:b w:val="0"/>
          <w:sz w:val="22"/>
        </w:rPr>
        <w:t>17.3. Comunicações oficiais: w1capitalassessoria@protonmail.com.</w:t>
      </w:r>
    </w:p>
    <w:p>
      <w:pPr>
        <w:spacing w:after="160" w:before="0" w:line="276" w:lineRule="auto"/>
        <w:ind w:firstLine="709"/>
        <w:jc w:val="both"/>
      </w:pPr>
      <w:r>
        <w:rPr>
          <w:rFonts w:ascii="Times New Roman" w:hAnsi="Times New Roman" w:eastAsia="Times New Roman"/>
          <w:b w:val="0"/>
          <w:sz w:val="22"/>
        </w:rPr>
        <w:t>17.4. A versão vigente pode ser publicada na rota /termos da Plataforma. Em divergência entre versões, prevalece a mais recente aceita por uso continuado após aviso razoável, sem prejuízo de direitos já adquiridos em ciclo anual pago.</w:t>
      </w:r>
    </w:p>
    <w:p>
      <w:pPr>
        <w:spacing w:after="160" w:before="0" w:line="276" w:lineRule="auto"/>
        <w:ind w:firstLine="709"/>
        <w:jc w:val="both"/>
      </w:pPr>
      <w:r>
        <w:rPr>
          <w:rFonts w:ascii="Times New Roman" w:hAnsi="Times New Roman" w:eastAsia="Times New Roman"/>
          <w:b w:val="0"/>
          <w:sz w:val="22"/>
        </w:rPr>
        <w:t>17.5. Foro da Comarca de São Paulo, Estado de São Paulo, com renúncia a qualquer outro, salvo competência de juizado ou norma de ordem pública de proteção ao consumidor quando o LICENCIADO for destinatário final pessoa natural.</w:t>
      </w:r>
    </w:p>
    <w:p>
      <w:pPr>
        <w:spacing w:before="320" w:after="160"/>
        <w:ind w:firstLine="0"/>
      </w:pPr>
      <w:r>
        <w:rPr>
          <w:rFonts w:ascii="Times New Roman" w:hAnsi="Times New Roman" w:eastAsia="Times New Roman"/>
          <w:b/>
          <w:sz w:val="28"/>
        </w:rPr>
        <w:t>CLÁUSULA 18 — DECLARAÇÃO ESPECÍFICA SOBRE DADOS PÚBLICOS (RESUMO OPERACIONAL)</w:t>
      </w:r>
    </w:p>
    <w:p>
      <w:pPr>
        <w:spacing w:after="160" w:before="0" w:line="276" w:lineRule="auto"/>
        <w:ind w:firstLine="709"/>
        <w:jc w:val="both"/>
      </w:pPr>
      <w:r>
        <w:rPr>
          <w:rFonts w:ascii="Times New Roman" w:hAnsi="Times New Roman" w:eastAsia="Times New Roman"/>
          <w:b w:val="0"/>
          <w:sz w:val="22"/>
        </w:rPr>
        <w:t>18.1. Pode: guardar CNJ de cliente da carteira; consultar DataJud/DJEN para classificar movimento; gerar estatística sem nome; exportar XLSX da própria operação; revisar encerramentos com olho humano.</w:t>
      </w:r>
    </w:p>
    <w:p>
      <w:pPr>
        <w:spacing w:after="160" w:before="0" w:line="276" w:lineRule="auto"/>
        <w:ind w:firstLine="709"/>
        <w:jc w:val="both"/>
      </w:pPr>
      <w:r>
        <w:rPr>
          <w:rFonts w:ascii="Times New Roman" w:hAnsi="Times New Roman" w:eastAsia="Times New Roman"/>
          <w:b w:val="0"/>
          <w:sz w:val="22"/>
        </w:rPr>
        <w:t>18.2. Não pode: transformar CNJ solto em lista de telemarketing; vender base; furar CAPTCHA de tribunal; tratar feito em sigilo; apresentar heurística como sentença.</w:t>
      </w:r>
    </w:p>
    <w:p>
      <w:pPr>
        <w:spacing w:after="160" w:before="0" w:line="276" w:lineRule="auto"/>
        <w:ind w:firstLine="709"/>
        <w:jc w:val="both"/>
      </w:pPr>
      <w:r>
        <w:rPr>
          <w:rFonts w:ascii="Times New Roman" w:hAnsi="Times New Roman" w:eastAsia="Times New Roman"/>
          <w:b w:val="0"/>
          <w:sz w:val="22"/>
        </w:rPr>
        <w:t>18.3. Em dúvida, prevalece a interpretação mais protetiva do titular do dado pessoal e a consulta ao inteiro teor no sítio oficial do tribunal.</w:t>
      </w:r>
    </w:p>
    <w:p>
      <w:pPr>
        <w:spacing w:before="320" w:after="160"/>
        <w:ind w:firstLine="0"/>
      </w:pPr>
      <w:r>
        <w:rPr>
          <w:rFonts w:ascii="Times New Roman" w:hAnsi="Times New Roman" w:eastAsia="Times New Roman"/>
          <w:b/>
          <w:sz w:val="28"/>
        </w:rPr>
        <w:t>ANEXO I — HIERARQUIA DE FONTES</w:t>
      </w:r>
    </w:p>
    <w:p>
      <w:pPr>
        <w:spacing w:after="160" w:before="0" w:line="276" w:lineRule="auto"/>
        <w:ind w:firstLine="709"/>
        <w:jc w:val="both"/>
      </w:pPr>
      <w:r>
        <w:rPr>
          <w:rFonts w:ascii="Times New Roman" w:hAnsi="Times New Roman" w:eastAsia="Times New Roman"/>
          <w:b w:val="0"/>
          <w:sz w:val="22"/>
        </w:rPr>
        <w:t>A. Inteiro teor e movimentação no tribunal de origem.</w:t>
      </w:r>
    </w:p>
    <w:p>
      <w:pPr>
        <w:spacing w:after="160" w:before="0" w:line="276" w:lineRule="auto"/>
        <w:ind w:firstLine="709"/>
        <w:jc w:val="both"/>
      </w:pPr>
      <w:r>
        <w:rPr>
          <w:rFonts w:ascii="Times New Roman" w:hAnsi="Times New Roman" w:eastAsia="Times New Roman"/>
          <w:b w:val="0"/>
          <w:sz w:val="22"/>
        </w:rPr>
        <w:t>B. DJEN / diário oficial para o que foi publicado.</w:t>
      </w:r>
    </w:p>
    <w:p>
      <w:pPr>
        <w:spacing w:after="160" w:before="0" w:line="276" w:lineRule="auto"/>
        <w:ind w:firstLine="709"/>
        <w:jc w:val="both"/>
      </w:pPr>
      <w:r>
        <w:rPr>
          <w:rFonts w:ascii="Times New Roman" w:hAnsi="Times New Roman" w:eastAsia="Times New Roman"/>
          <w:b w:val="0"/>
          <w:sz w:val="22"/>
        </w:rPr>
        <w:t>C. DataJud para metadados e classe, quando a API responder JSON válido.</w:t>
      </w:r>
    </w:p>
    <w:p>
      <w:pPr>
        <w:spacing w:after="160" w:before="0" w:line="276" w:lineRule="auto"/>
        <w:ind w:firstLine="709"/>
        <w:jc w:val="both"/>
      </w:pPr>
      <w:r>
        <w:rPr>
          <w:rFonts w:ascii="Times New Roman" w:hAnsi="Times New Roman" w:eastAsia="Times New Roman"/>
          <w:b w:val="0"/>
          <w:sz w:val="22"/>
        </w:rPr>
        <w:t>D. Ficha humana na Plataforma (último retorno, observação, situação de gabinete).</w:t>
      </w:r>
    </w:p>
    <w:p>
      <w:pPr>
        <w:spacing w:after="160" w:before="0" w:line="276" w:lineRule="auto"/>
        <w:ind w:firstLine="709"/>
        <w:jc w:val="both"/>
      </w:pPr>
      <w:r>
        <w:rPr>
          <w:rFonts w:ascii="Times New Roman" w:hAnsi="Times New Roman" w:eastAsia="Times New Roman"/>
          <w:b w:val="0"/>
          <w:sz w:val="22"/>
        </w:rPr>
        <w:t>E. Heurística e modelo de linguagem.</w:t>
      </w:r>
    </w:p>
    <w:p>
      <w:pPr>
        <w:spacing w:after="160" w:before="0" w:line="276" w:lineRule="auto"/>
        <w:ind w:firstLine="709"/>
        <w:jc w:val="both"/>
      </w:pPr>
      <w:r>
        <w:rPr>
          <w:rFonts w:ascii="Times New Roman" w:hAnsi="Times New Roman" w:eastAsia="Times New Roman"/>
          <w:b w:val="0"/>
          <w:sz w:val="22"/>
        </w:rPr>
        <w:t>Conflito: A prevalece sobre B; B sobre C; D sobre E. Encerramento de gabinete não se confunde com baixa no tribunal.</w:t>
      </w:r>
    </w:p>
    <w:p>
      <w:pPr>
        <w:spacing w:before="320" w:after="160"/>
        <w:ind w:firstLine="0"/>
      </w:pPr>
      <w:r>
        <w:rPr>
          <w:rFonts w:ascii="Times New Roman" w:hAnsi="Times New Roman" w:eastAsia="Times New Roman"/>
          <w:b/>
          <w:sz w:val="28"/>
        </w:rPr>
        <w:t>ANEXO II — CHECKLIST ANTES DE CONTATO COM TITULAR</w:t>
      </w:r>
    </w:p>
    <w:p>
      <w:pPr>
        <w:spacing w:after="160" w:before="0" w:line="276" w:lineRule="auto"/>
        <w:ind w:firstLine="709"/>
        <w:jc w:val="both"/>
      </w:pPr>
      <w:r>
        <w:rPr>
          <w:rFonts w:ascii="Times New Roman" w:hAnsi="Times New Roman" w:eastAsia="Times New Roman"/>
          <w:b w:val="0"/>
          <w:sz w:val="22"/>
        </w:rPr>
        <w:t>1. Existe contrato, mandato, cadastro prévio ou solicitação do titular?</w:t>
      </w:r>
    </w:p>
    <w:p>
      <w:pPr>
        <w:spacing w:after="160" w:before="0" w:line="276" w:lineRule="auto"/>
        <w:ind w:firstLine="709"/>
        <w:jc w:val="both"/>
      </w:pPr>
      <w:r>
        <w:rPr>
          <w:rFonts w:ascii="Times New Roman" w:hAnsi="Times New Roman" w:eastAsia="Times New Roman"/>
          <w:b w:val="0"/>
          <w:sz w:val="22"/>
        </w:rPr>
        <w:t>2. O feito está em segredo de justiça?</w:t>
      </w:r>
    </w:p>
    <w:p>
      <w:pPr>
        <w:spacing w:after="160" w:before="0" w:line="276" w:lineRule="auto"/>
        <w:ind w:firstLine="709"/>
        <w:jc w:val="both"/>
      </w:pPr>
      <w:r>
        <w:rPr>
          <w:rFonts w:ascii="Times New Roman" w:hAnsi="Times New Roman" w:eastAsia="Times New Roman"/>
          <w:b w:val="0"/>
          <w:sz w:val="22"/>
        </w:rPr>
        <w:t>3. O telefone veio do próprio cliente ou foi caçado a partir do CNJ?</w:t>
      </w:r>
    </w:p>
    <w:p>
      <w:pPr>
        <w:spacing w:after="160" w:before="0" w:line="276" w:lineRule="auto"/>
        <w:ind w:firstLine="709"/>
        <w:jc w:val="both"/>
      </w:pPr>
      <w:r>
        <w:rPr>
          <w:rFonts w:ascii="Times New Roman" w:hAnsi="Times New Roman" w:eastAsia="Times New Roman"/>
          <w:b w:val="0"/>
          <w:sz w:val="22"/>
        </w:rPr>
        <w:t>4. O script sugere fato (mandado, apreensão, extinção) que a equipe leu no inteiro teor?</w:t>
      </w:r>
    </w:p>
    <w:p>
      <w:pPr>
        <w:spacing w:after="160" w:before="0" w:line="276" w:lineRule="auto"/>
        <w:ind w:firstLine="709"/>
        <w:jc w:val="both"/>
      </w:pPr>
      <w:r>
        <w:rPr>
          <w:rFonts w:ascii="Times New Roman" w:hAnsi="Times New Roman" w:eastAsia="Times New Roman"/>
          <w:b w:val="0"/>
          <w:sz w:val="22"/>
        </w:rPr>
        <w:t>5. O registro de atendimento será gravado em nome de quem atendeu, sem “roubar” o dono da ficha?</w:t>
      </w:r>
    </w:p>
    <w:p>
      <w:pPr>
        <w:spacing w:after="160" w:before="0" w:line="276" w:lineRule="auto"/>
        <w:ind w:firstLine="709"/>
        <w:jc w:val="both"/>
      </w:pPr>
      <w:r>
        <w:rPr>
          <w:rFonts w:ascii="Times New Roman" w:hAnsi="Times New Roman" w:eastAsia="Times New Roman"/>
          <w:b w:val="0"/>
          <w:sz w:val="22"/>
        </w:rPr>
        <w:t>Se a resposta a 1 for não, ou a 2 for sim, ou a 3 indicar caça a frio, o contato não deve sair da Plataforma.</w:t>
      </w:r>
    </w:p>
    <w:p>
      <w:pPr>
        <w:spacing w:before="320" w:after="160"/>
        <w:ind w:firstLine="0"/>
      </w:pPr>
      <w:r>
        <w:rPr>
          <w:rFonts w:ascii="Times New Roman" w:hAnsi="Times New Roman" w:eastAsia="Times New Roman"/>
          <w:b/>
          <w:sz w:val="28"/>
        </w:rPr>
        <w:t>ANEXO III — MODO SEGURANÇA E PLANILHA</w:t>
      </w:r>
    </w:p>
    <w:p>
      <w:pPr>
        <w:spacing w:after="160" w:before="0" w:line="276" w:lineRule="auto"/>
        <w:ind w:firstLine="709"/>
        <w:jc w:val="both"/>
      </w:pPr>
      <w:r>
        <w:rPr>
          <w:rFonts w:ascii="Times New Roman" w:hAnsi="Times New Roman" w:eastAsia="Times New Roman"/>
          <w:b w:val="0"/>
          <w:sz w:val="22"/>
        </w:rPr>
        <w:t>Colunas mínimas da aba Processos reconhecidas pela Plataforma: Assistente, Escritorio, Advogado, Cliente, Telefone, Protocolo, Distribuicao, Status, Observacoes, Produtos, Data_Movimentacao, Andamento, Retorno, Proximo_Retorno, Tribunal, Evento_Tipo, Novo_Andamento, Encerrado_Tribunal, Busca_Apreensao, Cumprimento, DJEN_Resumo, Situacao_Prazo, Dias_Sem_Retorno, Procedente, Improcedente. Aliases CreatedBy / Responsavel / created_by são lidos como dono operacional.</w:t>
      </w:r>
    </w:p>
    <w:p>
      <w:pPr>
        <w:spacing w:after="160" w:before="0" w:line="276" w:lineRule="auto"/>
        <w:ind w:firstLine="709"/>
        <w:jc w:val="both"/>
      </w:pPr>
      <w:r>
        <w:rPr>
          <w:rFonts w:ascii="Times New Roman" w:hAnsi="Times New Roman" w:eastAsia="Times New Roman"/>
          <w:b w:val="0"/>
          <w:sz w:val="22"/>
        </w:rPr>
        <w:t>Aba Usuarios: login, nome, senha (hash SHA-256), perfil, escritorio, ativo, email, auth_user_id, id. Senha em texto claro é falha do LICENCIADO.</w:t>
      </w:r>
    </w:p>
    <w:p>
      <w:pPr>
        <w:spacing w:after="160" w:before="0" w:line="276" w:lineRule="auto"/>
        <w:ind w:firstLine="709"/>
        <w:jc w:val="both"/>
      </w:pPr>
      <w:r>
        <w:rPr>
          <w:rFonts w:ascii="Times New Roman" w:hAnsi="Times New Roman" w:eastAsia="Times New Roman"/>
          <w:b w:val="0"/>
          <w:sz w:val="22"/>
        </w:rPr>
        <w:t>Token do webhook e URL /exec são segredo de operação. Quem tem o token lê e escreve a carteira.</w:t>
      </w:r>
    </w:p>
    <w:p>
      <w:pPr>
        <w:spacing w:after="160" w:before="0" w:line="276" w:lineRule="auto"/>
        <w:ind w:firstLine="709"/>
        <w:jc w:val="both"/>
      </w:pPr>
      <w:r>
        <w:rPr>
          <w:rFonts w:ascii="Times New Roman" w:hAnsi="Times New Roman" w:eastAsia="Times New Roman"/>
          <w:b w:val="0"/>
          <w:sz w:val="22"/>
        </w:rPr>
        <w:t>E por estarem justas, as partes consideram aceito este instrumento na data do primeiro acesso autenticado posterior à publicação da minuta na Plataforma ou, se anterior, na data da assinatura de proposta comercial que a este faça remissão.</w:t>
      </w:r>
    </w:p>
    <w:p>
      <w:pPr>
        <w:spacing w:after="160" w:before="0" w:line="276" w:lineRule="auto"/>
        <w:jc w:val="center"/>
      </w:pPr>
      <w:r>
        <w:rPr>
          <w:rFonts w:ascii="Times New Roman" w:hAnsi="Times New Roman" w:eastAsia="Times New Roman"/>
          <w:b w:val="0"/>
          <w:sz w:val="22"/>
        </w:rPr>
        <w:t>São Paulo/SP, 21 de setembro de 2026.</w:t>
      </w:r>
    </w:p>
    <w:p>
      <w:pPr>
        <w:spacing w:after="0" w:before="0" w:line="276" w:lineRule="auto"/>
        <w:jc w:val="center"/>
      </w:pPr>
      <w:r>
        <w:rPr>
          <w:rFonts w:ascii="Times New Roman" w:hAnsi="Times New Roman" w:eastAsia="Times New Roman"/>
          <w:b w:val="0"/>
          <w:sz w:val="22"/>
        </w:rPr>
        <w:t>Davi Alves Figueredo</w:t>
      </w:r>
    </w:p>
    <w:p>
      <w:pPr>
        <w:spacing w:after="160" w:before="0" w:line="276" w:lineRule="auto"/>
        <w:jc w:val="center"/>
      </w:pPr>
      <w:r>
        <w:rPr>
          <w:rFonts w:ascii="Times New Roman" w:hAnsi="Times New Roman" w:eastAsia="Times New Roman"/>
          <w:b w:val="0"/>
          <w:sz w:val="22"/>
        </w:rPr>
        <w:t>LICENCIANTE — LexisPredict</w:t>
      </w:r>
    </w:p>
    <w:p>
      <w:pPr>
        <w:spacing w:after="160" w:before="0" w:line="276" w:lineRule="auto"/>
        <w:jc w:val="center"/>
      </w:pPr>
      <w:r>
        <w:rPr>
          <w:rFonts w:ascii="Times New Roman" w:hAnsi="Times New Roman" w:eastAsia="Times New Roman"/>
          <w:b w:val="0"/>
          <w:sz w:val="22"/>
        </w:rPr>
        <w:t>LICENCIADO / USUÁRIO ADERENTE: aceite eletrônico por login ou uso continuado.</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05050"/>
        <w:sz w:val="16"/>
      </w:rPr>
      <w:t>Documento para revisão jurídica. Não substitui assessoria de advogado. São Paulo/SP.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color w:val="505050"/>
        <w:sz w:val="16"/>
      </w:rPr>
      <w:t>LexisPredict · Termos, Licença e Dados Públicos · minuta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