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Noto Sans CJK SC" w:hAnsi="Noto Sans CJK SC" w:eastAsia="Noto Sans CJK SC"/>
          <w:b/>
          <w:color w:val="183761"/>
          <w:sz w:val="38"/>
        </w:rPr>
        <w:t>负熵引擎基础 MVP</w:t>
        <w:br/>
        <w:t>协议冻结文档</w:t>
      </w:r>
    </w:p>
    <w:p>
      <w:pPr>
        <w:pStyle w:val="SubTitleCN"/>
        <w:jc w:val="center"/>
      </w:pPr>
      <w:r>
        <w:rPr>
          <w:rFonts w:ascii="Noto Sans CJK SC" w:hAnsi="Noto Sans CJK SC" w:eastAsia="Noto Sans CJK SC"/>
          <w:b w:val="0"/>
          <w:color w:val="586472"/>
          <w:sz w:val="21"/>
        </w:rPr>
        <w:t>OpenClaw × Python 脚本 × SQLite｜2026-03-26 冻结版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B"/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83761"/>
                <w:sz w:val="20"/>
              </w:rPr>
              <w:t>文档用途</w:t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本文件汇总 2026-03-26 对话中已经冻结的协议、字段定义、标签体系、规则约束与后续轻量落地方案。</w:t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它的目标不是描述全部愿景，而是给第一版可运行的最小 MVP 提供统一口径。</w:t>
            </w:r>
          </w:p>
        </w:tc>
      </w:tr>
    </w:tbl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一、今天已经冻结的核心裁决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交互入口采用 FSYQ 结构化录入模式；既支持模板输入，也支持一句话自然语言输入。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结构化候选生成后，用户直接在系统原输出上修改并回传；不再额外设计修改模板。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状态信息统一在存储层以独立 state 记录保存；若属于 action / task / idea 的上下文说明，则用 related_to 关联主记录。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技术方案采用超轻量版：OpenClaw 作为入口与流程壳，Python 脚本负责确定性逻辑，SQLite 负责持久化。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subject 只保留具体对象；更高层归属先进入主/副通道标签，不额外保留通用 tags 大筐字段。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通道标签采用一主一副结构，副可空；主副不得相同，相同则统一归到主标签，副标签清空。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价值标签采用一主一副结构：主价值标签必填且只能一项；副属性标签可空且最多一项。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时间主字段只保留 event_time 与 recorded_at；统一使用 24 小时制，推荐格式 YYYY-MM-DD HH:MM。</w:t>
      </w:r>
    </w:p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二、FSYQ 交互协议（冻结版）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FSYQ 是第一版日志录入的唯一标准入口。目标不是追求聊天自由，而是把模糊自然语言稳定压缩成可计算、可校验、可回溯的结构化记录。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2.1 触发与流程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用户输入关键词 FSYQ，系统进入结构化录入流程。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系统先返回固定模板；用户可按模板填写，也可直接输入一句自然语言。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系统生成结构化候选，并逐条显示字段与中文简释。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用户如果不满意，直接复制系统原输出，改动具体字段后发回。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系统以用户修改后的版本为准，重新校验并再次确认。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只有在最终确认后，记录才写入 SQLite。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2.2 FSYQ 模板（第一版保留中文说明）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9FC"/>
          </w:tcPr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[FSYQ 结构化录入]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 事件：________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（说明：这次实际发生了什么，或你要记录的核心行为/任务/想法）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2. 状态：________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（说明：这次记录对应的身体/精神/疲劳/专注/压力等状态；可写自然语言，也可附带量表）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3. 时间：________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（说明：事件实际发生的时间；可写“今晚九点”“今天下午”“今早起床后”等）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主通道标签（单选，直接回复编号）：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（说明：这条记录最主要属于哪个主线/通道）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 llm_engineering —— AI助手 / RAG / LLM工程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2. body_management —— 泰坦计划 / 身体管理 / 恢复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3. teaching —— 教学 / 代课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4. exam_prep —— 考研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5. mechanics_learning —— 力学学习 / 学科能力建设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6. system_building —— 负熵引擎 / 协议 / 字段 / 系统构建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7. daily_maintenance —— 日常维护 / 杂务 / 被动事务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副通道标签（可不填，最多一项，直接回复编号）：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（说明：这条记录次要涉及到哪个主线/通道）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 llm_engineering —— AI助手 / RAG / LLM工程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2. body_management —— 泰坦计划 / 身体管理 / 恢复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3. teaching —— 教学 / 代课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4. exam_prep —— 考研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5. mechanics_learning —— 力学学习 / 学科能力建设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6. system_building —— 负熵引擎 / 协议 / 字段 / 系统构建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7. daily_maintenance —— 日常维护 / 杂务 / 被动事务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主价值标签（单选，直接回复编号）：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（说明：这是这件事在当前阶段的核心价值判断）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 高价值 —— 对主线推进明显有帮助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2. 鸡肋 —— 有一点意义，但边际价值低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3. 无用 —— 对当前系统推进几乎没有价值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副属性标签（可不填，最多一项，直接回复编号）：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（说明：这是这件事的补充属性）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 恢复性 —— 主要作用是恢复、缓冲、降负荷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2. 不得不 —— 不是想做，而是现实约束要求必须做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你也可以直接用一句自然语言输入，我会自动拆分并生成结构化候选，随后让你确认。</w:t>
            </w:r>
          </w:p>
        </w:tc>
      </w:tr>
    </w:tbl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2.3 系统整理后的候选输出要求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系统输出的每个字段后面都带简短中文注释，尤其是标签字段与状态关联字段。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候选输出中，标签需直接展示中文释义，例如：mechanics_learning（力学学习/学科能力）、高价值（主线推进强）、不得不（现实约束必须做）。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系统不再额外返回修改模板；用户直接对原候选文本进行修改后回传。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系统重整时以用户修改后的字段为最高优先级，不再重新猜测用户意图。</w:t>
      </w:r>
    </w:p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三、日志主表字段（冻结版）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以下字段是 records 主表的建议最小集合。第一版不再保留通用 tags 字段，也不单独存储 time_tag。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814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中文含义</w:t>
            </w:r>
          </w:p>
        </w:tc>
        <w:tc>
          <w:tcPr>
            <w:tcW w:type="dxa" w:w="1020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4819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record_id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记录唯一编号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每条记录自己的唯一 ID，用于查询、修改、关联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bundle_id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同批输入编号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同一次 FSYQ 输入拆出的多条记录共享同一个编号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related_to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关联主记录编号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用于把附属 state 挂到 action / task / idea 等主记录上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event_time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事件发生时间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主时间字段；统一使用 24 小时制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recorded_at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记录写入时间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系统实际写入数据库的时间；统一使用 24 小时制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记录类型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固定为 task / action / state / idea / review_note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原始内容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保存用户原始表达，用于纠错与回溯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具体主题对象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只放最具体、最值得检索的对象，不承担高层归属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value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主数值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如握力、疲劳分、体重等核心数值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unit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数值单位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value 的量纲，如 kg、score_10、jin 等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duration_min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持续时长（分钟）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行为时长统一折算为分钟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primary_channel_tag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主通道标签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这条记录最主要属于哪个主线/通道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secondary_channel_tag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副通道标签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次要涉及到的主线/通道；可空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primary_value_tag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主价值标签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这件事在当前阶段的核心价值判断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secondary_value_tag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副属性标签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补充属性标签；可空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任务状态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 task 必填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 task 使用，固定为 active / done / cancelled / paused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</w:t>
            </w:r>
          </w:p>
        </w:tc>
        <w:tc>
          <w:tcPr>
            <w:tcW w:type="dxa" w:w="1644"/>
            <w:vAlign w:val="center"/>
            <w:shd w:fill="FAFBFD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数据来源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第一版默认固定为 openclaw</w:t>
            </w:r>
          </w:p>
        </w:tc>
      </w:tr>
    </w:tbl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四、枚举与标签体系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4.1 type 枚举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task：待执行事项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action：已发生行为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state：状态记录，可独立统计，也可通过 related_to 挂到主记录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idea：想法/灵感/未进入执行的增量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review_note：复盘判断与规律提炼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4.2 status 枚举（仅 task）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active：正在执行或待执行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done：已完成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cancelled：取消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paused：暂停/挂起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4.3 通道标签（主/副）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91"/>
            <w:vAlign w:val="center"/>
            <w:shd w:fill="507EA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标签值</w:t>
            </w:r>
          </w:p>
        </w:tc>
        <w:tc>
          <w:tcPr>
            <w:tcW w:type="dxa" w:w="6406"/>
            <w:vAlign w:val="center"/>
            <w:shd w:fill="507EA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中文释义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llm_engineering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AI助手 / RAG / LLM工程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body_management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泰坦计划 / 身体管理 / 恢复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teaching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教学 / 代课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exam_prep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考研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mechanics_learning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力学学习 / 学科能力建设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system_building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负熵引擎 / 协议 / 字段 / 系统构建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daily_maintenance</w:t>
            </w:r>
          </w:p>
        </w:tc>
        <w:tc>
          <w:tcPr>
            <w:tcW w:type="dxa" w:w="492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日常维护 / 杂务 / 被动事务</w:t>
            </w:r>
          </w:p>
        </w:tc>
      </w:tr>
    </w:tbl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4.4 价值标签（主/副）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507EA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字段层级</w:t>
            </w:r>
          </w:p>
        </w:tc>
        <w:tc>
          <w:tcPr>
            <w:tcW w:type="dxa" w:w="3286"/>
            <w:vAlign w:val="center"/>
            <w:shd w:fill="507EA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标签值</w:t>
            </w:r>
          </w:p>
        </w:tc>
        <w:tc>
          <w:tcPr>
            <w:tcW w:type="dxa" w:w="3286"/>
            <w:vAlign w:val="center"/>
            <w:shd w:fill="507EAA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中文释义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主价值标签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高价值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对主线推进明显有帮助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主价值标签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鸡肋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有一点意义，但边际价值低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主价值标签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无用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对当前系统推进几乎没有价值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副属性标签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恢复性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主要作用是恢复、缓冲、降负荷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副属性标签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不得不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不是想做，而是现实约束要求必须做</w:t>
            </w:r>
          </w:p>
        </w:tc>
      </w:tr>
    </w:tbl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五、冻结规则清单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R-STATE-01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规则内容：所有状态信息在存储层统一以 type=state 的独立记录保存；若该状态属于某条 action / task / idea 的上下文说明，则通过 related_to 指向对应主记录。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19"/>
        </w:rPr>
        <w:t>设计意图：解决“状态既要独立统计，又要能附属解释主记录”的矛盾，最终实现：存储独立，语义关联。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R-TIME-01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规则内容：时间相关主字段仅保留 event_time 与 recorded_at；不单独存储 time_tag。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19"/>
        </w:rPr>
        <w:t>设计意图：第一版尽量减少冗余字段，按时间段统计可在程序中由 event_time 派生。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R-TIME-02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规则内容：所有时间字段统一采用 24 小时制，推荐格式 YYYY-MM-DD HH:MM。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19"/>
        </w:rPr>
        <w:t>设计意图：避免 12 小时制歧义，保证排序、查询与肉眼检查一致。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R-CHANNEL-01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规则内容：primary_channel_tag 与 secondary_channel_tag 不允许相同；若相同，则保留主通道标签并将副通道标签置空。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19"/>
        </w:rPr>
        <w:t>设计意图：防止主副标签重复带来的脏数据与统计失真。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R-VALUE-01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规则内容：primary_value_tag 必填且只能一项；secondary_value_tag 可空且最多一项。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19"/>
        </w:rPr>
        <w:t>设计意图：保证价值判断既可计算，又能保留恢复性/不得不等补充属性。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R-SOURCE-01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规则内容：第一版 source 默认固定为 openclaw。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19"/>
        </w:rPr>
        <w:t>设计意图：避免多来源口径过早复杂化，待后续接入更多输入通道时再扩展。</w:t>
      </w:r>
    </w:p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六、为什么采用超轻量方案</w:t>
      </w:r>
    </w:p>
    <w:p>
      <w:pPr>
        <w:spacing w:line="293" w:lineRule="auto" w:after="60"/>
      </w:pPr>
      <w:r>
        <w:rPr>
          <w:rFonts w:ascii="Noto Sans CJK SC" w:hAnsi="Noto Sans CJK SC" w:eastAsia="Noto Sans CJK SC"/>
          <w:b w:val="0"/>
          <w:sz w:val="20"/>
        </w:rPr>
        <w:t>第一版不追求“全自动智能助手”，而是追求“稳定录入、稳定校验、稳定查询、稳定复盘”。因此技术选型明确收缩为：OpenClaw + 一个 Python 脚本 + SQLite。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286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286"/>
            <w:vAlign w:val="center"/>
            <w:shd w:fill="305F8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为什么放在这里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OpenClaw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聊天入口、FSYQ 流程触发、结果展示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最适合做人机交互壳，不适合承担持久状态与复杂数据逻辑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脚本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解析、关系判断、字段校验、重整、写入、查询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确定性逻辑应交给程序而不是 prompt，抗漂移能力更强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记录持久化、会话状态、后续统计基础</w:t>
            </w:r>
          </w:p>
        </w:tc>
        <w:tc>
          <w:tcPr>
            <w:tcW w:type="dxa" w:w="328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轻量、透明、易调试，适合 MVP 初期</w:t>
            </w:r>
          </w:p>
        </w:tc>
      </w:tr>
    </w:tbl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6.1 抗提示词漂移的基本策略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关键枚举固定：type、status、channel tag、value tag、source 全部外置并固定。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FSYQ 模板固定：第一版不随心情变化。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结构化候选输出固定：字段名稳定、注释稳定、展示顺序稳定。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程序校验高于模型猜测：非法值直接打回重整。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原始内容 content 永远保留，保证纠错能力。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用户直接修改系统候选，避免系统反复从自然语言重新猜意图。</w:t>
      </w:r>
    </w:p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七、后续落地方案（建议顺序）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阶段 1：把协议变成可运行的最小闭环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实现 records 主表与 flow_sessions 流程状态表。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实现 FSYQ 触发、模板返回、候选生成、二次确认、最终写入。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让系统能稳定返回“今天记录”与“本周记录”。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阶段 2：把数据变成复盘原料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实现按 type、主通道、主价值的基础汇总。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生成固定格式的周复盘草稿。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把 review_note 的提炼逻辑单独模块化。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阶段 3：从记录走向规则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基于连续记录提炼候选规则，例如：教学负荷高时降低高认知任务安排。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只把反复出现、能被证据支持的规律升级进更高层模型。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Self Model 低频更新；不要让日常高频噪声直接污染主模型。</w:t>
      </w:r>
    </w:p>
    <w:p>
      <w:pPr>
        <w:pStyle w:val="Heading2CN"/>
        <w:keepNext/>
      </w:pPr>
      <w:r>
        <w:rPr>
          <w:rFonts w:ascii="Noto Sans CJK SC" w:hAnsi="Noto Sans CJK SC" w:eastAsia="Noto Sans CJK SC"/>
          <w:b/>
          <w:color w:val="2E4A5E"/>
          <w:sz w:val="23"/>
        </w:rPr>
        <w:t>阶段 4：再考虑扩展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增加更多 source（如手工补录、设备同步、复盘生成）。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视统计需求决定是否增加派生字段，而不是先把冗余字段塞进主表。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等口径稳定后，再考虑 Web 视图、多端同步或更复杂的查询界面。</w:t>
      </w:r>
    </w:p>
    <w:p>
      <w:pPr>
        <w:pStyle w:val="Heading1CN"/>
        <w:keepNext/>
      </w:pPr>
      <w:r>
        <w:rPr>
          <w:rFonts w:ascii="Noto Sans CJK SC" w:hAnsi="Noto Sans CJK SC" w:eastAsia="Noto Sans CJK SC"/>
          <w:b/>
          <w:color w:val="183761"/>
          <w:sz w:val="26"/>
        </w:rPr>
        <w:t>八、当前版本的边界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这份冻结文档只覆盖第一版日志协议与最小实现路线，不等于完整负熵引擎全貌。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第一版的目标是“能稳定记、能改、能查、能复盘”，不是一开始就做复杂调度系统。</w:t>
      </w:r>
    </w:p>
    <w:p>
      <w:pPr>
        <w:spacing w:after="40" w:line="288" w:lineRule="auto"/>
        <w:ind w:left="0"/>
      </w:pPr>
      <w:r>
        <w:rPr>
          <w:rFonts w:ascii="Noto Sans CJK SC" w:hAnsi="Noto Sans CJK SC" w:eastAsia="Noto Sans CJK SC"/>
          <w:b w:val="0"/>
          <w:sz w:val="20"/>
        </w:rPr>
        <w:t>• 如果未来字段或规则改变，应新增版本号，而不是静默修改旧口径。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rPr>
      <w:rFonts w:ascii="Noto Sans CJK SC" w:hAnsi="Noto Sans CJK SC" w:eastAsia="Noto Sans CJK SC"/>
      <w:b/>
      <w:color w:val="183761"/>
      <w:sz w:val="38"/>
    </w:rPr>
  </w:style>
  <w:style w:type="paragraph" w:customStyle="1" w:styleId="SubTitleCN">
    <w:name w:val="SubTitleCN"/>
    <w:basedOn w:val="Normal"/>
    <w:rPr>
      <w:rFonts w:ascii="Noto Sans CJK SC" w:hAnsi="Noto Sans CJK SC" w:eastAsia="Noto Sans CJK SC"/>
      <w:color w:val="586472"/>
      <w:sz w:val="21"/>
    </w:rPr>
  </w:style>
  <w:style w:type="paragraph" w:customStyle="1" w:styleId="SmallGray">
    <w:name w:val="SmallGray"/>
    <w:basedOn w:val="Normal"/>
    <w:rPr>
      <w:rFonts w:ascii="Noto Sans CJK SC" w:hAnsi="Noto Sans CJK SC" w:eastAsia="Noto Sans CJK SC"/>
      <w:color w:val="6E6E6E"/>
      <w:sz w:val="18"/>
    </w:rPr>
  </w:style>
  <w:style w:type="paragraph" w:customStyle="1" w:styleId="CodeBlockCN">
    <w:name w:val="CodeBlockCN"/>
    <w:basedOn w:val="Normal"/>
    <w:rPr>
      <w:rFonts w:ascii="Consolas" w:hAnsi="Consolas" w:eastAsia="Noto Sans Mono CJK SC"/>
      <w:color w:val="000000"/>
      <w:sz w:val="18"/>
    </w:rPr>
  </w:style>
  <w:style w:type="paragraph" w:customStyle="1" w:styleId="Heading1CN">
    <w:name w:val="Heading1CN"/>
    <w:basedOn w:val="Normal"/>
    <w:pPr>
      <w:spacing w:before="140" w:after="40"/>
    </w:pPr>
    <w:rPr>
      <w:rFonts w:ascii="Noto Sans CJK SC" w:hAnsi="Noto Sans CJK SC" w:eastAsia="Noto Sans CJK SC"/>
      <w:b/>
      <w:color w:val="183761"/>
      <w:sz w:val="26"/>
    </w:rPr>
  </w:style>
  <w:style w:type="paragraph" w:customStyle="1" w:styleId="Heading2CN">
    <w:name w:val="Heading2CN"/>
    <w:basedOn w:val="Normal"/>
    <w:pPr>
      <w:spacing w:before="90" w:after="40"/>
    </w:pPr>
    <w:rPr>
      <w:rFonts w:ascii="Noto Sans CJK SC" w:hAnsi="Noto Sans CJK SC" w:eastAsia="Noto Sans CJK SC"/>
      <w:b/>
      <w:color w:val="2E4A5E"/>
      <w:sz w:val="23"/>
    </w:rPr>
  </w:style>
  <w:style w:type="paragraph" w:customStyle="1" w:styleId="Heading3CN">
    <w:name w:val="Heading3CN"/>
    <w:basedOn w:val="Normal"/>
    <w:pPr>
      <w:spacing w:before="90" w:after="40"/>
    </w:pPr>
    <w:rPr>
      <w:rFonts w:ascii="Noto Sans CJK SC" w:hAnsi="Noto Sans CJK SC" w:eastAsia="Noto Sans CJK SC"/>
      <w:b/>
      <w:color w:val="2E4A5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