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A8A72">
      <w:pPr>
        <w:pStyle w:val="164"/>
        <w:jc w:val="left"/>
      </w:pPr>
      <w:r>
        <w:t>负熵引擎当前已确定信息 - 文档索引</w:t>
      </w:r>
    </w:p>
    <w:p w14:paraId="4083391D">
      <w:pPr>
        <w:pStyle w:val="165"/>
      </w:pPr>
      <w:r>
        <w:t>将目前已确定内容拆分为多份功能性文档，便于交给</w:t>
      </w:r>
      <w:bookmarkStart w:id="0" w:name="_GoBack"/>
      <w:r>
        <w:t xml:space="preserve"> GPT / Gemini / Claude Code / Codex</w:t>
      </w:r>
      <w:bookmarkEnd w:id="0"/>
      <w:r>
        <w:t xml:space="preserve"> 等继续工作。</w:t>
      </w:r>
    </w:p>
    <w:tbl>
      <w:tblPr>
        <w:tblStyle w:val="32"/>
        <w:tblW w:w="0" w:type="auto"/>
        <w:jc w:val="center"/>
        <w:tblBorders>
          <w:top w:val="single" w:color="C9D5EA" w:sz="4" w:space="0"/>
          <w:left w:val="single" w:color="C9D5EA" w:sz="4" w:space="0"/>
          <w:bottom w:val="single" w:color="C9D5EA" w:sz="4" w:space="0"/>
          <w:right w:val="single" w:color="C9D5EA" w:sz="4" w:space="0"/>
          <w:insideH w:val="single" w:color="C9D5EA" w:sz="4" w:space="0"/>
          <w:insideV w:val="single" w:color="C9D5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00A9DCB">
        <w:tblPrEx>
          <w:tblBorders>
            <w:top w:val="single" w:color="C9D5EA" w:sz="4" w:space="0"/>
            <w:left w:val="single" w:color="C9D5EA" w:sz="4" w:space="0"/>
            <w:bottom w:val="single" w:color="C9D5EA" w:sz="4" w:space="0"/>
            <w:right w:val="single" w:color="C9D5EA" w:sz="4" w:space="0"/>
            <w:insideH w:val="single" w:color="C9D5EA" w:sz="4" w:space="0"/>
            <w:insideV w:val="single" w:color="C9D5EA" w:sz="4" w:space="0"/>
          </w:tblBorders>
        </w:tblPrEx>
        <w:trPr>
          <w:jc w:val="center"/>
        </w:trPr>
        <w:tc>
          <w:tcPr>
            <w:tcW w:w="1701" w:type="dxa"/>
            <w:shd w:val="clear" w:color="auto" w:fill="F5F9FF"/>
            <w:vAlign w:val="center"/>
          </w:tcPr>
          <w:p w14:paraId="614CE0F3">
            <w:r>
              <w:rPr>
                <w:b/>
                <w:sz w:val="19"/>
              </w:rPr>
              <w:t>状态：</w:t>
            </w:r>
            <w:r>
              <w:rPr>
                <w:sz w:val="19"/>
              </w:rPr>
              <w:t>内部整理版</w:t>
            </w:r>
          </w:p>
        </w:tc>
        <w:tc>
          <w:tcPr>
            <w:tcW w:w="3402" w:type="dxa"/>
            <w:shd w:val="clear" w:color="auto" w:fill="EEF4FF"/>
            <w:vAlign w:val="center"/>
          </w:tcPr>
          <w:p w14:paraId="55A748EE">
            <w:r>
              <w:rPr>
                <w:b/>
                <w:sz w:val="19"/>
              </w:rPr>
              <w:t>日期：</w:t>
            </w:r>
            <w:r>
              <w:rPr>
                <w:sz w:val="19"/>
              </w:rPr>
              <w:t>2026-03-26</w:t>
            </w:r>
          </w:p>
        </w:tc>
        <w:tc>
          <w:tcPr>
            <w:tcW w:w="3685" w:type="dxa"/>
            <w:shd w:val="clear" w:color="auto" w:fill="F5F9FF"/>
            <w:vAlign w:val="center"/>
          </w:tcPr>
          <w:p w14:paraId="2117E697">
            <w:r>
              <w:rPr>
                <w:b/>
                <w:sz w:val="19"/>
              </w:rPr>
              <w:t>用途：</w:t>
            </w:r>
            <w:r>
              <w:rPr>
                <w:sz w:val="19"/>
              </w:rPr>
              <w:t>作为当前冻结信息的可转交文档</w:t>
            </w:r>
          </w:p>
        </w:tc>
      </w:tr>
      <w:tr w14:paraId="2F077526">
        <w:tblPrEx>
          <w:tblBorders>
            <w:top w:val="single" w:color="C9D5EA" w:sz="4" w:space="0"/>
            <w:left w:val="single" w:color="C9D5EA" w:sz="4" w:space="0"/>
            <w:bottom w:val="single" w:color="C9D5EA" w:sz="4" w:space="0"/>
            <w:right w:val="single" w:color="C9D5EA" w:sz="4" w:space="0"/>
            <w:insideH w:val="single" w:color="C9D5EA" w:sz="4" w:space="0"/>
            <w:insideV w:val="single" w:color="C9D5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9FF"/>
            <w:vAlign w:val="center"/>
          </w:tcPr>
          <w:p w14:paraId="07622E62">
            <w:r>
              <w:rPr>
                <w:b/>
                <w:sz w:val="19"/>
              </w:rPr>
              <w:t>适用范围：</w:t>
            </w:r>
            <w:r>
              <w:rPr>
                <w:sz w:val="19"/>
              </w:rPr>
              <w:t>负熵引擎 / 个人智能助手前置工程</w:t>
            </w:r>
          </w:p>
        </w:tc>
        <w:tc>
          <w:tcPr>
            <w:tcW w:w="3402" w:type="dxa"/>
            <w:shd w:val="clear" w:color="auto" w:fill="EEF4FF"/>
            <w:vAlign w:val="center"/>
          </w:tcPr>
          <w:p w14:paraId="6F463DE5">
            <w:r>
              <w:rPr>
                <w:b/>
                <w:sz w:val="19"/>
              </w:rPr>
              <w:t>口径：</w:t>
            </w:r>
            <w:r>
              <w:rPr>
                <w:sz w:val="19"/>
              </w:rPr>
              <w:t>仅收录已讨论到并已相对明确的信息</w:t>
            </w:r>
          </w:p>
        </w:tc>
        <w:tc>
          <w:tcPr>
            <w:tcW w:w="3685" w:type="dxa"/>
            <w:shd w:val="clear" w:color="auto" w:fill="F5F9FF"/>
            <w:vAlign w:val="center"/>
          </w:tcPr>
          <w:p w14:paraId="1FB18BAB">
            <w:r>
              <w:rPr>
                <w:b/>
                <w:sz w:val="19"/>
              </w:rPr>
              <w:t>说明：</w:t>
            </w:r>
            <w:r>
              <w:rPr>
                <w:sz w:val="19"/>
              </w:rPr>
              <w:t>推断项与待确认项单独标记</w:t>
            </w:r>
          </w:p>
        </w:tc>
      </w:tr>
    </w:tbl>
    <w:p w14:paraId="7A05C227"/>
    <w:p w14:paraId="476A17EB">
      <w:pPr>
        <w:pStyle w:val="166"/>
      </w:pPr>
      <w:r>
        <w:t>本套文档包含什么</w:t>
      </w:r>
    </w:p>
    <w:tbl>
      <w:tblPr>
        <w:tblStyle w:val="32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F96FE98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</w:tblPrEx>
        <w:trPr>
          <w:jc w:val="center"/>
        </w:trPr>
        <w:tc>
          <w:tcPr>
            <w:tcW w:w="1757" w:type="dxa"/>
            <w:shd w:val="clear" w:color="auto" w:fill="DCE6F1"/>
            <w:vAlign w:val="center"/>
          </w:tcPr>
          <w:p w14:paraId="5AD2353E">
            <w:r>
              <w:rPr>
                <w:b/>
                <w:sz w:val="18"/>
              </w:rPr>
              <w:t>文档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2DADD2FC">
            <w:r>
              <w:rPr>
                <w:b/>
                <w:sz w:val="18"/>
              </w:rPr>
              <w:t>核心作用</w:t>
            </w:r>
          </w:p>
        </w:tc>
        <w:tc>
          <w:tcPr>
            <w:tcW w:w="3798" w:type="dxa"/>
            <w:shd w:val="clear" w:color="auto" w:fill="DCE6F1"/>
            <w:vAlign w:val="center"/>
          </w:tcPr>
          <w:p w14:paraId="485F8E14">
            <w:r>
              <w:rPr>
                <w:b/>
                <w:sz w:val="18"/>
              </w:rPr>
              <w:t>适用场景</w:t>
            </w:r>
          </w:p>
        </w:tc>
      </w:tr>
      <w:tr w14:paraId="1031887D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8FBFF"/>
            <w:vAlign w:val="center"/>
          </w:tcPr>
          <w:p w14:paraId="07D18671">
            <w:pPr>
              <w:spacing w:after="40" w:line="276" w:lineRule="auto"/>
            </w:pPr>
            <w:r>
              <w:rPr>
                <w:sz w:val="18"/>
              </w:rPr>
              <w:t>01 项目定义总文档</w:t>
            </w:r>
          </w:p>
        </w:tc>
        <w:tc>
          <w:tcPr>
            <w:tcW w:w="3515" w:type="dxa"/>
            <w:shd w:val="clear" w:color="auto" w:fill="F8FBFF"/>
            <w:vAlign w:val="center"/>
          </w:tcPr>
          <w:p w14:paraId="0B5FA621">
            <w:pPr>
              <w:spacing w:after="40" w:line="276" w:lineRule="auto"/>
            </w:pPr>
            <w:r>
              <w:rPr>
                <w:sz w:val="18"/>
              </w:rPr>
              <w:t>给出项目是什么、目标是什么、边界是什么</w:t>
            </w:r>
          </w:p>
        </w:tc>
        <w:tc>
          <w:tcPr>
            <w:tcW w:w="3798" w:type="dxa"/>
            <w:shd w:val="clear" w:color="auto" w:fill="F8FBFF"/>
            <w:vAlign w:val="center"/>
          </w:tcPr>
          <w:p w14:paraId="742607EE">
            <w:pPr>
              <w:spacing w:after="40" w:line="276" w:lineRule="auto"/>
            </w:pPr>
            <w:r>
              <w:rPr>
                <w:sz w:val="18"/>
              </w:rPr>
              <w:t>交给任何新模型先对齐大局</w:t>
            </w:r>
          </w:p>
        </w:tc>
      </w:tr>
      <w:tr w14:paraId="7888AAEF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07F44EEE">
            <w:pPr>
              <w:spacing w:after="40" w:line="276" w:lineRule="auto"/>
            </w:pPr>
            <w:r>
              <w:rPr>
                <w:sz w:val="18"/>
              </w:rPr>
              <w:t>02 术语字典与概念裁决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3186C33">
            <w:pPr>
              <w:spacing w:after="40" w:line="276" w:lineRule="auto"/>
            </w:pPr>
            <w:r>
              <w:rPr>
                <w:sz w:val="18"/>
              </w:rPr>
              <w:t>统一 Spirit / Vocation / Channel / Phase / Level 等定义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F66C9F0">
            <w:pPr>
              <w:spacing w:after="40" w:line="276" w:lineRule="auto"/>
            </w:pPr>
            <w:r>
              <w:rPr>
                <w:sz w:val="18"/>
              </w:rPr>
              <w:t>避免术语漂移和字段误判</w:t>
            </w:r>
          </w:p>
        </w:tc>
      </w:tr>
      <w:tr w14:paraId="3B789B1B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8FBFF"/>
            <w:vAlign w:val="center"/>
          </w:tcPr>
          <w:p w14:paraId="7A02CE8F">
            <w:pPr>
              <w:spacing w:after="40" w:line="276" w:lineRule="auto"/>
            </w:pPr>
            <w:r>
              <w:rPr>
                <w:sz w:val="18"/>
              </w:rPr>
              <w:t>03 系统架构与 MVP 冻结</w:t>
            </w:r>
          </w:p>
        </w:tc>
        <w:tc>
          <w:tcPr>
            <w:tcW w:w="3515" w:type="dxa"/>
            <w:shd w:val="clear" w:color="auto" w:fill="F8FBFF"/>
            <w:vAlign w:val="center"/>
          </w:tcPr>
          <w:p w14:paraId="208D0FB6">
            <w:pPr>
              <w:spacing w:after="40" w:line="276" w:lineRule="auto"/>
            </w:pPr>
            <w:r>
              <w:rPr>
                <w:sz w:val="18"/>
              </w:rPr>
              <w:t>明确 D0/MVP 的技术栈、页面、API、非目标</w:t>
            </w:r>
          </w:p>
        </w:tc>
        <w:tc>
          <w:tcPr>
            <w:tcW w:w="3798" w:type="dxa"/>
            <w:shd w:val="clear" w:color="auto" w:fill="F8FBFF"/>
            <w:vAlign w:val="center"/>
          </w:tcPr>
          <w:p w14:paraId="6E4C400D">
            <w:pPr>
              <w:spacing w:after="40" w:line="276" w:lineRule="auto"/>
            </w:pPr>
            <w:r>
              <w:rPr>
                <w:sz w:val="18"/>
              </w:rPr>
              <w:t>开始工程实现时直接引用</w:t>
            </w:r>
          </w:p>
        </w:tc>
      </w:tr>
      <w:tr w14:paraId="63CE44A0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3793421C">
            <w:pPr>
              <w:spacing w:after="40" w:line="276" w:lineRule="auto"/>
            </w:pPr>
            <w:r>
              <w:rPr>
                <w:sz w:val="18"/>
              </w:rPr>
              <w:t>04 Self Model 与数据映射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1E47E9C4">
            <w:pPr>
              <w:spacing w:after="40" w:line="276" w:lineRule="auto"/>
            </w:pPr>
            <w:r>
              <w:rPr>
                <w:sz w:val="18"/>
              </w:rPr>
              <w:t>沉淀字段结构、枚举、JSON、SQLite 落库逻辑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55E67AC1">
            <w:pPr>
              <w:spacing w:after="40" w:line="276" w:lineRule="auto"/>
            </w:pPr>
            <w:r>
              <w:rPr>
                <w:sz w:val="18"/>
              </w:rPr>
              <w:t>用于 schema / SQL / 代码生成</w:t>
            </w:r>
          </w:p>
        </w:tc>
      </w:tr>
      <w:tr w14:paraId="0FD46FEE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8FBFF"/>
            <w:vAlign w:val="center"/>
          </w:tcPr>
          <w:p w14:paraId="1ED05EAE">
            <w:pPr>
              <w:spacing w:after="40" w:line="276" w:lineRule="auto"/>
            </w:pPr>
            <w:r>
              <w:rPr>
                <w:sz w:val="18"/>
              </w:rPr>
              <w:t>05 执行协议、边界与缺口</w:t>
            </w:r>
          </w:p>
        </w:tc>
        <w:tc>
          <w:tcPr>
            <w:tcW w:w="3515" w:type="dxa"/>
            <w:shd w:val="clear" w:color="auto" w:fill="F8FBFF"/>
            <w:vAlign w:val="center"/>
          </w:tcPr>
          <w:p w14:paraId="4653BD50">
            <w:pPr>
              <w:spacing w:after="40" w:line="276" w:lineRule="auto"/>
            </w:pPr>
            <w:r>
              <w:rPr>
                <w:sz w:val="18"/>
              </w:rPr>
              <w:t>说明运行协议、AI 作用、集成取舍、待确认问题</w:t>
            </w:r>
          </w:p>
        </w:tc>
        <w:tc>
          <w:tcPr>
            <w:tcW w:w="3798" w:type="dxa"/>
            <w:shd w:val="clear" w:color="auto" w:fill="F8FBFF"/>
            <w:vAlign w:val="center"/>
          </w:tcPr>
          <w:p w14:paraId="49A0033E">
            <w:pPr>
              <w:spacing w:after="40" w:line="276" w:lineRule="auto"/>
            </w:pPr>
            <w:r>
              <w:rPr>
                <w:sz w:val="18"/>
              </w:rPr>
              <w:t>用于后续裁决和迭代</w:t>
            </w:r>
          </w:p>
        </w:tc>
      </w:tr>
    </w:tbl>
    <w:p w14:paraId="213D3E8D"/>
    <w:p w14:paraId="66686161">
      <w:pPr>
        <w:pStyle w:val="166"/>
      </w:pPr>
      <w:r>
        <w:t>状态标记规则</w:t>
      </w:r>
    </w:p>
    <w:p w14:paraId="303D3910">
      <w:pPr>
        <w:ind w:left="198" w:hanging="102"/>
      </w:pPr>
      <w:r>
        <w:rPr>
          <w:b/>
        </w:rPr>
        <w:t xml:space="preserve">• </w:t>
      </w:r>
      <w:r>
        <w:t>已冻结：在多轮对话中被反复确认，可直接作为当前工程口径。</w:t>
      </w:r>
    </w:p>
    <w:p w14:paraId="35C0BE42">
      <w:pPr>
        <w:ind w:left="198" w:hanging="102"/>
      </w:pPr>
      <w:r>
        <w:rPr>
          <w:b/>
        </w:rPr>
        <w:t xml:space="preserve">• </w:t>
      </w:r>
      <w:r>
        <w:t>半冻结：方向明确，但仍保留调整空间；可以先实现，再在试运行中修订。</w:t>
      </w:r>
    </w:p>
    <w:p w14:paraId="0F024995">
      <w:pPr>
        <w:ind w:left="198" w:hanging="102"/>
      </w:pPr>
      <w:r>
        <w:rPr>
          <w:b/>
        </w:rPr>
        <w:t xml:space="preserve">• </w:t>
      </w:r>
      <w:r>
        <w:t>待确认：已经被识别为关键问题，但尚未得到最终裁决，不应伪装成既定事实。</w:t>
      </w:r>
    </w:p>
    <w:p w14:paraId="4F1397AF">
      <w:pPr>
        <w:pStyle w:val="166"/>
      </w:pPr>
      <w:r>
        <w:t>使用建议</w:t>
      </w:r>
    </w:p>
    <w:p w14:paraId="5E21BD29">
      <w:pPr>
        <w:ind w:left="198" w:hanging="102"/>
      </w:pPr>
      <w:r>
        <w:rPr>
          <w:b/>
        </w:rPr>
        <w:t xml:space="preserve">• </w:t>
      </w:r>
      <w:r>
        <w:t>给编程模型：优先投喂 01 + 03 + 04。</w:t>
      </w:r>
    </w:p>
    <w:p w14:paraId="12DA5A55">
      <w:pPr>
        <w:ind w:left="198" w:hanging="102"/>
      </w:pPr>
      <w:r>
        <w:rPr>
          <w:b/>
        </w:rPr>
        <w:t xml:space="preserve">• </w:t>
      </w:r>
      <w:r>
        <w:t>给通用长上下文模型：优先投喂 01 + 02 + 05。</w:t>
      </w:r>
    </w:p>
    <w:p w14:paraId="09057641">
      <w:pPr>
        <w:ind w:left="198" w:hanging="102"/>
      </w:pPr>
      <w:r>
        <w:rPr>
          <w:b/>
        </w:rPr>
        <w:t xml:space="preserve">• </w:t>
      </w:r>
      <w:r>
        <w:t>自己复盘时：先看 05，再回到 03 检查当前系统是否已经越界。</w:t>
      </w:r>
    </w:p>
    <w:tbl>
      <w:tblPr>
        <w:tblStyle w:val="32"/>
        <w:tblW w:w="0" w:type="auto"/>
        <w:jc w:val="center"/>
        <w:tblBorders>
          <w:top w:val="single" w:color="D8E6F3" w:sz="6" w:space="0"/>
          <w:left w:val="single" w:color="D8E6F3" w:sz="6" w:space="0"/>
          <w:bottom w:val="single" w:color="D8E6F3" w:sz="6" w:space="0"/>
          <w:right w:val="single" w:color="D8E6F3" w:sz="6" w:space="0"/>
          <w:insideH w:val="single" w:color="D8E6F3" w:sz="6" w:space="0"/>
          <w:insideV w:val="single" w:color="D8E6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C869FE6">
        <w:tblPrEx>
          <w:tblBorders>
            <w:top w:val="single" w:color="D8E6F3" w:sz="6" w:space="0"/>
            <w:left w:val="single" w:color="D8E6F3" w:sz="6" w:space="0"/>
            <w:bottom w:val="single" w:color="D8E6F3" w:sz="6" w:space="0"/>
            <w:right w:val="single" w:color="D8E6F3" w:sz="6" w:space="0"/>
            <w:insideH w:val="single" w:color="D8E6F3" w:sz="6" w:space="0"/>
            <w:insideV w:val="single" w:color="D8E6F3" w:sz="6" w:space="0"/>
          </w:tblBorders>
        </w:tblPrEx>
        <w:trPr>
          <w:jc w:val="center"/>
        </w:trPr>
        <w:tc>
          <w:tcPr>
            <w:tcW w:w="9071" w:type="dxa"/>
            <w:shd w:val="clear" w:color="auto" w:fill="F4F8FC"/>
          </w:tcPr>
          <w:p w14:paraId="675B7F90">
            <w:pPr>
              <w:pStyle w:val="170"/>
            </w:pPr>
            <w:r>
              <w:t>硬裁决：这套文档的目的不是做文学式总述，而是把负熵引擎当前已知结构压成可执行知识包。未知的地方必须显式暴露，不能用流畅措辞掩盖。</w:t>
            </w:r>
          </w:p>
        </w:tc>
      </w:tr>
    </w:tbl>
    <w:p w14:paraId="4630764A"/>
    <w:sectPr>
      <w:headerReference r:id="rId5" w:type="default"/>
      <w:footerReference r:id="rId6" w:type="default"/>
      <w:pgSz w:w="12240" w:h="15840"/>
      <w:pgMar w:top="1247" w:right="1247" w:bottom="1134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FW筑紫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8038E">
    <w:pPr>
      <w:pStyle w:val="24"/>
      <w:jc w:val="center"/>
    </w:pPr>
    <w:r>
      <w:rPr>
        <w:color w:val="6E6E6E"/>
        <w:sz w:val="18"/>
      </w:rPr>
      <w:t>负熵引擎知识包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0C321">
    <w:pPr>
      <w:pStyle w:val="169"/>
      <w:jc w:val="right"/>
    </w:pPr>
    <w:r>
      <w:t>总索引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7B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Saturday Sans Regular" w:hAnsi="Saturday Sans Regular" w:eastAsia="Saturday Sans Regular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FW筑紫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FW筑紫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ustomTitle"/>
    <w:basedOn w:val="1"/>
    <w:uiPriority w:val="0"/>
    <w:pPr>
      <w:spacing w:after="120"/>
    </w:pPr>
    <w:rPr>
      <w:rFonts w:ascii="Saturday Sans Regular" w:hAnsi="Saturday Sans Regular" w:eastAsia="Saturday Sans Regular"/>
      <w:b/>
      <w:color w:val="1F4E79"/>
      <w:sz w:val="44"/>
    </w:rPr>
  </w:style>
  <w:style w:type="paragraph" w:customStyle="1" w:styleId="165">
    <w:name w:val="CustomSubtitle"/>
    <w:basedOn w:val="1"/>
    <w:uiPriority w:val="0"/>
    <w:pPr>
      <w:spacing w:after="240"/>
    </w:pPr>
    <w:rPr>
      <w:color w:val="5A5A5A"/>
      <w:sz w:val="20"/>
    </w:rPr>
  </w:style>
  <w:style w:type="paragraph" w:customStyle="1" w:styleId="166">
    <w:name w:val="CustomH1"/>
    <w:basedOn w:val="1"/>
    <w:uiPriority w:val="0"/>
    <w:pPr>
      <w:keepNext/>
      <w:spacing w:before="240" w:after="80"/>
    </w:pPr>
    <w:rPr>
      <w:rFonts w:ascii="Saturday Sans Regular" w:hAnsi="Saturday Sans Regular" w:eastAsia="Saturday Sans Regular"/>
      <w:b/>
      <w:color w:val="1F4E79"/>
      <w:sz w:val="30"/>
    </w:rPr>
  </w:style>
  <w:style w:type="paragraph" w:customStyle="1" w:styleId="167">
    <w:name w:val="CustomH2"/>
    <w:basedOn w:val="1"/>
    <w:uiPriority w:val="0"/>
    <w:pPr>
      <w:keepNext/>
      <w:spacing w:before="240" w:after="80"/>
    </w:pPr>
    <w:rPr>
      <w:rFonts w:ascii="Saturday Sans Regular" w:hAnsi="Saturday Sans Regular" w:eastAsia="Saturday Sans Regular"/>
      <w:b/>
      <w:color w:val="2F5496"/>
      <w:sz w:val="25"/>
    </w:rPr>
  </w:style>
  <w:style w:type="paragraph" w:customStyle="1" w:styleId="168">
    <w:name w:val="CustomH3"/>
    <w:basedOn w:val="1"/>
    <w:uiPriority w:val="0"/>
    <w:pPr>
      <w:keepNext/>
      <w:spacing w:before="160" w:after="80"/>
    </w:pPr>
    <w:rPr>
      <w:rFonts w:ascii="Saturday Sans Regular" w:hAnsi="Saturday Sans Regular" w:eastAsia="Saturday Sans Regular"/>
      <w:b/>
      <w:color w:val="404040"/>
      <w:sz w:val="22"/>
    </w:rPr>
  </w:style>
  <w:style w:type="paragraph" w:customStyle="1" w:styleId="169">
    <w:name w:val="Small"/>
    <w:basedOn w:val="1"/>
    <w:uiPriority w:val="0"/>
    <w:rPr>
      <w:color w:val="646464"/>
      <w:sz w:val="18"/>
    </w:rPr>
  </w:style>
  <w:style w:type="paragraph" w:customStyle="1" w:styleId="170">
    <w:name w:val="Callout"/>
    <w:basedOn w:val="1"/>
    <w:uiPriority w:val="0"/>
    <w:pPr>
      <w:spacing w:before="80" w:after="120"/>
      <w:ind w:left="227" w:right="113"/>
    </w:pPr>
    <w:rPr>
      <w:color w:val="373737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579</Words>
  <Characters>678</Characters>
  <Lines>0</Lines>
  <Paragraphs>0</Paragraphs>
  <TotalTime>0</TotalTime>
  <ScaleCrop>false</ScaleCrop>
  <LinksUpToDate>false</LinksUpToDate>
  <CharactersWithSpaces>738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魏裕轩</cp:lastModifiedBy>
  <dcterms:modified xsi:type="dcterms:W3CDTF">2026-03-26T08:58:50Z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eyJoZGlkIjoiMzA1YmQzOGI5ZDAwNGU2NWQ5OGY1OTU3NjQ5OTk2NWIiLCJ1c2VySWQiOiI2NDc0OTI1OTAifQ==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9BAB5E6DB0244C71B8C2D08F20938D3F_12</vt:lpwstr>
  </property>
</Properties>
</file>