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2CE17">
      <w:pPr>
        <w:pStyle w:val="164"/>
        <w:jc w:val="left"/>
      </w:pPr>
      <w:r>
        <w:t>负熵引擎 - 项目定义总文档</w:t>
      </w:r>
    </w:p>
    <w:p w14:paraId="55559E0F">
      <w:pPr>
        <w:pStyle w:val="165"/>
      </w:pPr>
      <w:r>
        <w:t>对项目定位、目标、护城河、阶段目标与当前版本边界的集中整理。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9E2F14D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7912EE5F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6D7DFE79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04054912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062F1807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1646E5F8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1BEEE59F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492BB775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7815DE45"/>
    <w:p w14:paraId="6EABDB7E">
      <w:pPr>
        <w:pStyle w:val="166"/>
      </w:pPr>
      <w:r>
        <w:t>一、项目本体定义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F74BD9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130170FA">
            <w:r>
              <w:rPr>
                <w:b/>
                <w:sz w:val="19"/>
              </w:rPr>
              <w:t>字段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2C552372">
            <w:r>
              <w:rPr>
                <w:b/>
                <w:sz w:val="19"/>
              </w:rPr>
              <w:t>内容</w:t>
            </w:r>
          </w:p>
        </w:tc>
      </w:tr>
      <w:tr w14:paraId="399AC9E0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E9D83F8">
            <w:pPr>
              <w:spacing w:after="40" w:line="288" w:lineRule="auto"/>
            </w:pPr>
            <w:r>
              <w:rPr>
                <w:sz w:val="19"/>
              </w:rPr>
              <w:t>项目名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44CFBF0">
            <w:pPr>
              <w:spacing w:after="40" w:line="288" w:lineRule="auto"/>
            </w:pPr>
            <w:r>
              <w:rPr>
                <w:sz w:val="19"/>
              </w:rPr>
              <w:t>负熵引擎（当前命名更优于“逆熵引擎”）</w:t>
            </w:r>
          </w:p>
        </w:tc>
      </w:tr>
      <w:tr w14:paraId="6EAA1B9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55D4373F">
            <w:pPr>
              <w:spacing w:after="40" w:line="288" w:lineRule="auto"/>
            </w:pPr>
            <w:r>
              <w:rPr>
                <w:sz w:val="19"/>
              </w:rPr>
              <w:t>项目类型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84713A0">
            <w:pPr>
              <w:spacing w:after="40" w:line="288" w:lineRule="auto"/>
            </w:pPr>
            <w:r>
              <w:rPr>
                <w:sz w:val="19"/>
              </w:rPr>
              <w:t>个人智能助手 / 自我建模系统 / 行为秩序引擎</w:t>
            </w:r>
          </w:p>
        </w:tc>
      </w:tr>
      <w:tr w14:paraId="1DC7661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9C8DDD5">
            <w:pPr>
              <w:spacing w:after="40" w:line="288" w:lineRule="auto"/>
            </w:pPr>
            <w:r>
              <w:rPr>
                <w:sz w:val="19"/>
              </w:rPr>
              <w:t>核心任务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11ACE23">
            <w:pPr>
              <w:spacing w:after="40" w:line="288" w:lineRule="auto"/>
            </w:pPr>
            <w:r>
              <w:rPr>
                <w:sz w:val="19"/>
              </w:rPr>
              <w:t>对抗日常混乱，把主观生活流转化为可记录、可裁决、可复盘、可迭代的秩序系统</w:t>
            </w:r>
          </w:p>
        </w:tc>
      </w:tr>
      <w:tr w14:paraId="18BB3CA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E37A8C9">
            <w:pPr>
              <w:spacing w:after="40" w:line="288" w:lineRule="auto"/>
            </w:pPr>
            <w:r>
              <w:rPr>
                <w:sz w:val="19"/>
              </w:rPr>
              <w:t>不是什麽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646E9CA9">
            <w:pPr>
              <w:spacing w:after="40" w:line="288" w:lineRule="auto"/>
            </w:pPr>
            <w:r>
              <w:rPr>
                <w:sz w:val="19"/>
              </w:rPr>
              <w:t>不是追求全自动 Agent 的幻想系统；不是单纯待办清单；不是情绪陪伴 App</w:t>
            </w:r>
          </w:p>
        </w:tc>
      </w:tr>
      <w:tr w14:paraId="75BE7E57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2ECB4A1F">
            <w:pPr>
              <w:spacing w:after="40" w:line="288" w:lineRule="auto"/>
            </w:pPr>
            <w:r>
              <w:rPr>
                <w:sz w:val="19"/>
              </w:rPr>
              <w:t>底层诉求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F06C001">
            <w:pPr>
              <w:spacing w:after="40" w:line="288" w:lineRule="auto"/>
            </w:pPr>
            <w:r>
              <w:rPr>
                <w:sz w:val="19"/>
              </w:rPr>
              <w:t>让系统能持续回答：现在该做什么、不该做什么、为什么，以及如何在身体/认知/方向约束下推进</w:t>
            </w:r>
          </w:p>
        </w:tc>
      </w:tr>
    </w:tbl>
    <w:p w14:paraId="2791D4A4"/>
    <w:p w14:paraId="22F57BC1">
      <w:pPr>
        <w:pStyle w:val="166"/>
      </w:pPr>
      <w:r>
        <w:t>二、当前已经明确的总目标</w:t>
      </w:r>
    </w:p>
    <w:p w14:paraId="60D42316">
      <w:pPr>
        <w:ind w:left="198" w:hanging="102"/>
      </w:pPr>
      <w:r>
        <w:rPr>
          <w:b/>
        </w:rPr>
        <w:t xml:space="preserve">• </w:t>
      </w:r>
      <w:r>
        <w:t>先构建一个足够小、足够稳的 MVP，跑通初始化、记录、更新、周复盘四个基本闭环。</w:t>
      </w:r>
    </w:p>
    <w:p w14:paraId="6B6BBD6A">
      <w:pPr>
        <w:ind w:left="198" w:hanging="102"/>
      </w:pPr>
      <w:r>
        <w:rPr>
          <w:b/>
        </w:rPr>
        <w:t xml:space="preserve">• </w:t>
      </w:r>
      <w:r>
        <w:t>以个人建模为内核，而不是以任务列表为内核；任务只是外层执行接口。</w:t>
      </w:r>
    </w:p>
    <w:p w14:paraId="2CFCDE1F">
      <w:pPr>
        <w:ind w:left="198" w:hanging="102"/>
      </w:pPr>
      <w:r>
        <w:rPr>
          <w:b/>
        </w:rPr>
        <w:t xml:space="preserve">• </w:t>
      </w:r>
      <w:r>
        <w:t>将身体、认知、意义、方向四类变量纳入同一裁决系统，而不是分别散落在笔记、聊天、灵感和体重记录里。</w:t>
      </w:r>
    </w:p>
    <w:p w14:paraId="6F5DA1C2">
      <w:pPr>
        <w:ind w:left="198" w:hanging="102"/>
      </w:pPr>
      <w:r>
        <w:rPr>
          <w:b/>
        </w:rPr>
        <w:t xml:space="preserve">• </w:t>
      </w:r>
      <w:r>
        <w:t>优先支持你的当前主线：个人智能助手 / RAG / LLM 工程地基建设，同时容纳身体管理与考研/学术接口。</w:t>
      </w:r>
    </w:p>
    <w:p w14:paraId="0E42BA1F">
      <w:pPr>
        <w:ind w:left="198" w:hanging="102"/>
      </w:pPr>
      <w:r>
        <w:rPr>
          <w:b/>
        </w:rPr>
        <w:t xml:space="preserve">• </w:t>
      </w:r>
      <w:r>
        <w:t>允许系统先以人肉消息总线形态运行：人工负责上下文切换与裁决，工具只做函数。</w:t>
      </w:r>
    </w:p>
    <w:p w14:paraId="45057311">
      <w:pPr>
        <w:pStyle w:val="166"/>
      </w:pPr>
      <w:r>
        <w:t>三、负熵引擎的护城河判断</w:t>
      </w:r>
    </w:p>
    <w:p w14:paraId="1FAB0D18">
      <w:pPr>
        <w:ind w:left="198" w:hanging="102"/>
      </w:pPr>
      <w:r>
        <w:rPr>
          <w:b/>
        </w:rPr>
        <w:t xml:space="preserve">• </w:t>
      </w:r>
      <w:r>
        <w:t>护城河不在“模型多强”，而在“定义是否严密、字段是否稳定、裁决是否可追溯、协议是否能长期长出来”。</w:t>
      </w:r>
    </w:p>
    <w:p w14:paraId="58A3F444">
      <w:pPr>
        <w:ind w:left="198" w:hanging="102"/>
      </w:pPr>
      <w:r>
        <w:rPr>
          <w:b/>
        </w:rPr>
        <w:t xml:space="preserve">• </w:t>
      </w:r>
      <w:r>
        <w:t>相对一般商业 Agent 的优势不是全自动，而是低幻觉、强约束、贴合个人真实约束、能承受长期演化。</w:t>
      </w:r>
    </w:p>
    <w:p w14:paraId="44D27616">
      <w:pPr>
        <w:ind w:left="198" w:hanging="102"/>
      </w:pPr>
      <w:r>
        <w:rPr>
          <w:b/>
        </w:rPr>
        <w:t xml:space="preserve">• </w:t>
      </w:r>
      <w:r>
        <w:t>项目真正稀缺的部分是：把个人生活-学习-体能-方向的异质变量压进统一 schema，并持续通过数据与复盘修正。</w:t>
      </w:r>
    </w:p>
    <w:p w14:paraId="37105661">
      <w:pPr>
        <w:pStyle w:val="166"/>
      </w:pPr>
      <w:r>
        <w:t>四、阶段化目标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059617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1BF27D45">
            <w:r>
              <w:rPr>
                <w:b/>
                <w:sz w:val="18"/>
              </w:rPr>
              <w:t>阶段</w:t>
            </w:r>
          </w:p>
        </w:tc>
        <w:tc>
          <w:tcPr>
            <w:tcW w:w="4989" w:type="dxa"/>
            <w:shd w:val="clear" w:color="auto" w:fill="DCE6F1"/>
            <w:vAlign w:val="center"/>
          </w:tcPr>
          <w:p w14:paraId="3252E927">
            <w:r>
              <w:rPr>
                <w:b/>
                <w:sz w:val="18"/>
              </w:rPr>
              <w:t>目标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53A36B1D">
            <w:r>
              <w:rPr>
                <w:b/>
                <w:sz w:val="18"/>
              </w:rPr>
              <w:t>状态</w:t>
            </w:r>
          </w:p>
        </w:tc>
      </w:tr>
      <w:tr w14:paraId="0F18154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BFF"/>
            <w:vAlign w:val="center"/>
          </w:tcPr>
          <w:p w14:paraId="2B21FE3C">
            <w:pPr>
              <w:spacing w:after="40" w:line="276" w:lineRule="auto"/>
            </w:pPr>
            <w:r>
              <w:rPr>
                <w:sz w:val="18"/>
              </w:rPr>
              <w:t>D0 / 冷启动</w:t>
            </w:r>
          </w:p>
        </w:tc>
        <w:tc>
          <w:tcPr>
            <w:tcW w:w="4989" w:type="dxa"/>
            <w:shd w:val="clear" w:color="auto" w:fill="F8FBFF"/>
            <w:vAlign w:val="center"/>
          </w:tcPr>
          <w:p w14:paraId="69E32102">
            <w:pPr>
              <w:spacing w:after="40" w:line="276" w:lineRule="auto"/>
            </w:pPr>
            <w:r>
              <w:rPr>
                <w:sz w:val="18"/>
              </w:rPr>
              <w:t>冻结基本概念、字段、页面、API、周复盘闭环</w:t>
            </w:r>
          </w:p>
        </w:tc>
        <w:tc>
          <w:tcPr>
            <w:tcW w:w="2268" w:type="dxa"/>
            <w:shd w:val="clear" w:color="auto" w:fill="F8FBFF"/>
            <w:vAlign w:val="center"/>
          </w:tcPr>
          <w:p w14:paraId="7D285584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  <w:tr w14:paraId="3291640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5155DDDD">
            <w:pPr>
              <w:spacing w:after="40" w:line="276" w:lineRule="auto"/>
            </w:pPr>
            <w:r>
              <w:rPr>
                <w:sz w:val="18"/>
              </w:rPr>
              <w:t>MVP 1.0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C4DC413">
            <w:pPr>
              <w:spacing w:after="40" w:line="276" w:lineRule="auto"/>
            </w:pPr>
            <w:r>
              <w:rPr>
                <w:sz w:val="18"/>
              </w:rPr>
              <w:t>完成本地最小系统，支持手动录入与周复盘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CFD312">
            <w:pPr>
              <w:spacing w:after="40" w:line="276" w:lineRule="auto"/>
            </w:pPr>
            <w:r>
              <w:rPr>
                <w:sz w:val="18"/>
              </w:rPr>
              <w:t>已冻结</w:t>
            </w:r>
          </w:p>
        </w:tc>
      </w:tr>
      <w:tr w14:paraId="50C0F8A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BFF"/>
            <w:vAlign w:val="center"/>
          </w:tcPr>
          <w:p w14:paraId="712AA920">
            <w:pPr>
              <w:spacing w:after="40" w:line="276" w:lineRule="auto"/>
            </w:pPr>
            <w:r>
              <w:rPr>
                <w:sz w:val="18"/>
              </w:rPr>
              <w:t>1.5</w:t>
            </w:r>
          </w:p>
        </w:tc>
        <w:tc>
          <w:tcPr>
            <w:tcW w:w="4989" w:type="dxa"/>
            <w:shd w:val="clear" w:color="auto" w:fill="F8FBFF"/>
            <w:vAlign w:val="center"/>
          </w:tcPr>
          <w:p w14:paraId="1BF41324">
            <w:pPr>
              <w:spacing w:after="40" w:line="276" w:lineRule="auto"/>
            </w:pPr>
            <w:r>
              <w:rPr>
                <w:sz w:val="18"/>
              </w:rPr>
              <w:t>在数据基础上做公式化推导与贡献判断，而不是纯感性总结</w:t>
            </w:r>
          </w:p>
        </w:tc>
        <w:tc>
          <w:tcPr>
            <w:tcW w:w="2268" w:type="dxa"/>
            <w:shd w:val="clear" w:color="auto" w:fill="F8FBFF"/>
            <w:vAlign w:val="center"/>
          </w:tcPr>
          <w:p w14:paraId="574B6E63">
            <w:pPr>
              <w:spacing w:after="40" w:line="276" w:lineRule="auto"/>
            </w:pPr>
            <w:r>
              <w:rPr>
                <w:sz w:val="18"/>
              </w:rPr>
              <w:t>半冻结</w:t>
            </w:r>
          </w:p>
        </w:tc>
      </w:tr>
      <w:tr w14:paraId="42764659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05A88941">
            <w:pPr>
              <w:spacing w:after="40" w:line="276" w:lineRule="auto"/>
            </w:pPr>
            <w:r>
              <w:rPr>
                <w:sz w:val="18"/>
              </w:rPr>
              <w:t>2.0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7FDD7B0">
            <w:pPr>
              <w:spacing w:after="40" w:line="276" w:lineRule="auto"/>
            </w:pPr>
            <w:r>
              <w:rPr>
                <w:sz w:val="18"/>
              </w:rPr>
              <w:t>引入更多自动采集、模型推断、阶段跃迁判定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742D9C1">
            <w:pPr>
              <w:spacing w:after="40" w:line="276" w:lineRule="auto"/>
            </w:pPr>
            <w:r>
              <w:rPr>
                <w:sz w:val="18"/>
              </w:rPr>
              <w:t>半冻结</w:t>
            </w:r>
          </w:p>
        </w:tc>
      </w:tr>
      <w:tr w14:paraId="18CF93E3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BFF"/>
            <w:vAlign w:val="center"/>
          </w:tcPr>
          <w:p w14:paraId="5E277FB0">
            <w:pPr>
              <w:spacing w:after="40" w:line="276" w:lineRule="auto"/>
            </w:pPr>
            <w:r>
              <w:rPr>
                <w:sz w:val="18"/>
              </w:rPr>
              <w:t>共享化/产品化</w:t>
            </w:r>
          </w:p>
        </w:tc>
        <w:tc>
          <w:tcPr>
            <w:tcW w:w="4989" w:type="dxa"/>
            <w:shd w:val="clear" w:color="auto" w:fill="F8FBFF"/>
            <w:vAlign w:val="center"/>
          </w:tcPr>
          <w:p w14:paraId="0C81D6B4">
            <w:pPr>
              <w:spacing w:after="40" w:line="276" w:lineRule="auto"/>
            </w:pPr>
            <w:r>
              <w:rPr>
                <w:sz w:val="18"/>
              </w:rPr>
              <w:t>考虑给他人使用的公共配置、权限、可迁移模板</w:t>
            </w:r>
          </w:p>
        </w:tc>
        <w:tc>
          <w:tcPr>
            <w:tcW w:w="2268" w:type="dxa"/>
            <w:shd w:val="clear" w:color="auto" w:fill="F8FBFF"/>
            <w:vAlign w:val="center"/>
          </w:tcPr>
          <w:p w14:paraId="4421DB3C">
            <w:pPr>
              <w:spacing w:after="40" w:line="276" w:lineRule="auto"/>
            </w:pPr>
            <w:r>
              <w:rPr>
                <w:sz w:val="18"/>
              </w:rPr>
              <w:t>待确认</w:t>
            </w:r>
          </w:p>
        </w:tc>
      </w:tr>
    </w:tbl>
    <w:p w14:paraId="11345398"/>
    <w:p w14:paraId="2756DBB4">
      <w:pPr>
        <w:pStyle w:val="166"/>
      </w:pPr>
      <w:r>
        <w:t>五、当前命名与路线裁决</w:t>
      </w:r>
    </w:p>
    <w:p w14:paraId="28E68B93">
      <w:pPr>
        <w:ind w:left="198" w:hanging="102"/>
      </w:pPr>
      <w:r>
        <w:rPr>
          <w:b/>
        </w:rPr>
        <w:t xml:space="preserve">• </w:t>
      </w:r>
      <w:r>
        <w:t>命名倾向：负熵引擎优于逆熵引擎。理由是它更强调建立局部秩序、持续做功、对抗混乱，而不是抽象地“逆转一切熵增”。</w:t>
      </w:r>
    </w:p>
    <w:p w14:paraId="4E759C23">
      <w:pPr>
        <w:ind w:left="198" w:hanging="102"/>
      </w:pPr>
      <w:r>
        <w:rPr>
          <w:b/>
        </w:rPr>
        <w:t xml:space="preserve">• </w:t>
      </w:r>
      <w:r>
        <w:t>路线倾向：先跑通本地最小闭环，再谈自动化；先控制结构，再增加功能；先做‘对你有效’，再谈‘对别人可用’。</w:t>
      </w:r>
    </w:p>
    <w:p w14:paraId="61F85DBF">
      <w:pPr>
        <w:ind w:left="198" w:hanging="102"/>
      </w:pPr>
      <w:r>
        <w:rPr>
          <w:b/>
        </w:rPr>
        <w:t xml:space="preserve">• </w:t>
      </w:r>
      <w:r>
        <w:t>系统内核偏好：更接近 CoPaw/低熵心跳式框架，而不是 OpenClaw 那种高自由度高混乱度内核。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9F79D39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303A5B33">
            <w:pPr>
              <w:pStyle w:val="170"/>
            </w:pPr>
            <w:r>
              <w:t>硬裁决：当前项目不是“再做一个生产力工具”，而是在为你的主系统建立一个能长期吸纳行为数据、方向判断和自我修正的秩序容器。</w:t>
            </w:r>
          </w:p>
        </w:tc>
      </w:tr>
    </w:tbl>
    <w:p w14:paraId="19D6B2AA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262EC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0749F">
    <w:pPr>
      <w:pStyle w:val="169"/>
      <w:jc w:val="right"/>
    </w:pPr>
    <w:r>
      <w:t>项目定义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5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qFormat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qFormat/>
    <w:uiPriority w:val="0"/>
    <w:rPr>
      <w:color w:val="646464"/>
      <w:sz w:val="18"/>
    </w:rPr>
  </w:style>
  <w:style w:type="paragraph" w:customStyle="1" w:styleId="170">
    <w:name w:val="Callout"/>
    <w:basedOn w:val="1"/>
    <w:qFormat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1044</Words>
  <Characters>1097</Characters>
  <Lines>0</Lines>
  <Paragraphs>0</Paragraphs>
  <TotalTime>9</TotalTime>
  <ScaleCrop>false</ScaleCrop>
  <LinksUpToDate>false</LinksUpToDate>
  <CharactersWithSpaces>1134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103E95B99CA1470EB3381F9B6A8FE7A2_12</vt:lpwstr>
  </property>
</Properties>
</file>