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288CA">
      <w:pPr>
        <w:pStyle w:val="164"/>
        <w:jc w:val="left"/>
      </w:pPr>
      <w:bookmarkStart w:id="0" w:name="_GoBack"/>
      <w:bookmarkEnd w:id="0"/>
      <w:r>
        <w:t>负熵引擎 - 术语字典与概念裁决</w:t>
      </w:r>
    </w:p>
    <w:p w14:paraId="1AD10306">
      <w:pPr>
        <w:pStyle w:val="165"/>
      </w:pPr>
      <w:r>
        <w:t>统一项目中的关键概念，避免后续编程、提示词与复盘中发生语义漂移。</w:t>
      </w:r>
    </w:p>
    <w:tbl>
      <w:tblPr>
        <w:tblStyle w:val="32"/>
        <w:tblW w:w="0" w:type="auto"/>
        <w:jc w:val="center"/>
        <w:tblBorders>
          <w:top w:val="single" w:color="C9D5EA" w:sz="4" w:space="0"/>
          <w:left w:val="single" w:color="C9D5EA" w:sz="4" w:space="0"/>
          <w:bottom w:val="single" w:color="C9D5EA" w:sz="4" w:space="0"/>
          <w:right w:val="single" w:color="C9D5EA" w:sz="4" w:space="0"/>
          <w:insideH w:val="single" w:color="C9D5EA" w:sz="4" w:space="0"/>
          <w:insideV w:val="single" w:color="C9D5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2875A7F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1AE3982D">
            <w:r>
              <w:rPr>
                <w:b/>
                <w:sz w:val="19"/>
              </w:rPr>
              <w:t>状态：</w:t>
            </w:r>
            <w:r>
              <w:rPr>
                <w:sz w:val="19"/>
              </w:rPr>
              <w:t>内部整理版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746C7A80">
            <w:r>
              <w:rPr>
                <w:b/>
                <w:sz w:val="19"/>
              </w:rPr>
              <w:t>日期：</w:t>
            </w:r>
            <w:r>
              <w:rPr>
                <w:sz w:val="19"/>
              </w:rPr>
              <w:t>2026-03-26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6704107B">
            <w:r>
              <w:rPr>
                <w:b/>
                <w:sz w:val="19"/>
              </w:rPr>
              <w:t>用途：</w:t>
            </w:r>
            <w:r>
              <w:rPr>
                <w:sz w:val="19"/>
              </w:rPr>
              <w:t>作为当前冻结信息的可转交文档</w:t>
            </w:r>
          </w:p>
        </w:tc>
      </w:tr>
      <w:tr w14:paraId="717C9AA2">
        <w:tblPrEx>
          <w:tblBorders>
            <w:top w:val="single" w:color="C9D5EA" w:sz="4" w:space="0"/>
            <w:left w:val="single" w:color="C9D5EA" w:sz="4" w:space="0"/>
            <w:bottom w:val="single" w:color="C9D5EA" w:sz="4" w:space="0"/>
            <w:right w:val="single" w:color="C9D5EA" w:sz="4" w:space="0"/>
            <w:insideH w:val="single" w:color="C9D5EA" w:sz="4" w:space="0"/>
            <w:insideV w:val="single" w:color="C9D5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9FF"/>
            <w:vAlign w:val="center"/>
          </w:tcPr>
          <w:p w14:paraId="29E27ACB">
            <w:r>
              <w:rPr>
                <w:b/>
                <w:sz w:val="19"/>
              </w:rPr>
              <w:t>适用范围：</w:t>
            </w:r>
            <w:r>
              <w:rPr>
                <w:sz w:val="19"/>
              </w:rPr>
              <w:t>负熵引擎 / 个人智能助手前置工程</w:t>
            </w:r>
          </w:p>
        </w:tc>
        <w:tc>
          <w:tcPr>
            <w:tcW w:w="3402" w:type="dxa"/>
            <w:shd w:val="clear" w:color="auto" w:fill="EEF4FF"/>
            <w:vAlign w:val="center"/>
          </w:tcPr>
          <w:p w14:paraId="23C1B833">
            <w:r>
              <w:rPr>
                <w:b/>
                <w:sz w:val="19"/>
              </w:rPr>
              <w:t>口径：</w:t>
            </w:r>
            <w:r>
              <w:rPr>
                <w:sz w:val="19"/>
              </w:rPr>
              <w:t>仅收录已讨论到并已相对明确的信息</w:t>
            </w:r>
          </w:p>
        </w:tc>
        <w:tc>
          <w:tcPr>
            <w:tcW w:w="3685" w:type="dxa"/>
            <w:shd w:val="clear" w:color="auto" w:fill="F5F9FF"/>
            <w:vAlign w:val="center"/>
          </w:tcPr>
          <w:p w14:paraId="323D8D8D">
            <w:r>
              <w:rPr>
                <w:b/>
                <w:sz w:val="19"/>
              </w:rPr>
              <w:t>说明：</w:t>
            </w:r>
            <w:r>
              <w:rPr>
                <w:sz w:val="19"/>
              </w:rPr>
              <w:t>推断项与待确认项单独标记</w:t>
            </w:r>
          </w:p>
        </w:tc>
      </w:tr>
    </w:tbl>
    <w:p w14:paraId="426BED4A"/>
    <w:p w14:paraId="2904227C">
      <w:pPr>
        <w:pStyle w:val="166"/>
      </w:pPr>
      <w:r>
        <w:t>一、四象限主结构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DD16F3B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CE6F1"/>
            <w:vAlign w:val="center"/>
          </w:tcPr>
          <w:p w14:paraId="7EF04888">
            <w:r>
              <w:rPr>
                <w:b/>
                <w:sz w:val="18"/>
              </w:rPr>
              <w:t>对象</w:t>
            </w:r>
          </w:p>
        </w:tc>
        <w:tc>
          <w:tcPr>
            <w:tcW w:w="3912" w:type="dxa"/>
            <w:shd w:val="clear" w:color="auto" w:fill="DCE6F1"/>
            <w:vAlign w:val="center"/>
          </w:tcPr>
          <w:p w14:paraId="694405A8">
            <w:r>
              <w:rPr>
                <w:b/>
                <w:sz w:val="18"/>
              </w:rPr>
              <w:t>定义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1D79B99">
            <w:r>
              <w:rPr>
                <w:b/>
                <w:sz w:val="18"/>
              </w:rPr>
              <w:t>在系统中的角色</w:t>
            </w:r>
          </w:p>
        </w:tc>
      </w:tr>
      <w:tr w14:paraId="7E2F840D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8FBFF"/>
            <w:vAlign w:val="center"/>
          </w:tcPr>
          <w:p w14:paraId="26B0B566">
            <w:pPr>
              <w:spacing w:after="40" w:line="276" w:lineRule="auto"/>
            </w:pPr>
            <w:r>
              <w:rPr>
                <w:sz w:val="18"/>
              </w:rPr>
              <w:t>Body</w:t>
            </w:r>
          </w:p>
        </w:tc>
        <w:tc>
          <w:tcPr>
            <w:tcW w:w="3912" w:type="dxa"/>
            <w:shd w:val="clear" w:color="auto" w:fill="F8FBFF"/>
            <w:vAlign w:val="center"/>
          </w:tcPr>
          <w:p w14:paraId="78A6FBE4">
            <w:pPr>
              <w:spacing w:after="40" w:line="276" w:lineRule="auto"/>
            </w:pPr>
            <w:r>
              <w:rPr>
                <w:sz w:val="18"/>
              </w:rPr>
              <w:t>身体能量池 + 身体层面的技能与世界作用能力</w:t>
            </w:r>
          </w:p>
        </w:tc>
        <w:tc>
          <w:tcPr>
            <w:tcW w:w="3402" w:type="dxa"/>
            <w:shd w:val="clear" w:color="auto" w:fill="F8FBFF"/>
            <w:vAlign w:val="center"/>
          </w:tcPr>
          <w:p w14:paraId="7D835078">
            <w:pPr>
              <w:spacing w:after="40" w:line="276" w:lineRule="auto"/>
            </w:pPr>
            <w:r>
              <w:rPr>
                <w:sz w:val="18"/>
              </w:rPr>
              <w:t>决定生理恢复、训练负荷、现实执行承载上限</w:t>
            </w:r>
          </w:p>
        </w:tc>
      </w:tr>
      <w:tr w14:paraId="3C837646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1E2BDE97">
            <w:pPr>
              <w:spacing w:after="40" w:line="276" w:lineRule="auto"/>
            </w:pPr>
            <w:r>
              <w:rPr>
                <w:sz w:val="18"/>
              </w:rPr>
              <w:t>Mind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4421A81B">
            <w:pPr>
              <w:spacing w:after="40" w:line="276" w:lineRule="auto"/>
            </w:pPr>
            <w:r>
              <w:rPr>
                <w:sz w:val="18"/>
              </w:rPr>
              <w:t>认知能量池 + 学科/思维能力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ADBF22">
            <w:pPr>
              <w:spacing w:after="40" w:line="276" w:lineRule="auto"/>
            </w:pPr>
            <w:r>
              <w:rPr>
                <w:sz w:val="18"/>
              </w:rPr>
              <w:t>决定学习、思考、推理、抽象与持续专注能力</w:t>
            </w:r>
          </w:p>
        </w:tc>
      </w:tr>
      <w:tr w14:paraId="210386B8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8FBFF"/>
            <w:vAlign w:val="center"/>
          </w:tcPr>
          <w:p w14:paraId="719F8955">
            <w:pPr>
              <w:spacing w:after="40" w:line="276" w:lineRule="auto"/>
            </w:pPr>
            <w:r>
              <w:rPr>
                <w:sz w:val="18"/>
              </w:rPr>
              <w:t>Spirit</w:t>
            </w:r>
          </w:p>
        </w:tc>
        <w:tc>
          <w:tcPr>
            <w:tcW w:w="3912" w:type="dxa"/>
            <w:shd w:val="clear" w:color="auto" w:fill="F8FBFF"/>
            <w:vAlign w:val="center"/>
          </w:tcPr>
          <w:p w14:paraId="3DBDEA66">
            <w:pPr>
              <w:spacing w:after="40" w:line="276" w:lineRule="auto"/>
            </w:pPr>
            <w:r>
              <w:rPr>
                <w:sz w:val="18"/>
              </w:rPr>
              <w:t>立场、意义、方向感、反异化边界</w:t>
            </w:r>
          </w:p>
        </w:tc>
        <w:tc>
          <w:tcPr>
            <w:tcW w:w="3402" w:type="dxa"/>
            <w:shd w:val="clear" w:color="auto" w:fill="F8FBFF"/>
            <w:vAlign w:val="center"/>
          </w:tcPr>
          <w:p w14:paraId="715F0088">
            <w:pPr>
              <w:spacing w:after="40" w:line="276" w:lineRule="auto"/>
            </w:pPr>
            <w:r>
              <w:rPr>
                <w:sz w:val="18"/>
              </w:rPr>
              <w:t>回答“我为何推进、哪些事情值得推进”</w:t>
            </w:r>
          </w:p>
        </w:tc>
      </w:tr>
      <w:tr w14:paraId="413CD78D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FFFFFF"/>
            <w:vAlign w:val="center"/>
          </w:tcPr>
          <w:p w14:paraId="370F8D0D">
            <w:pPr>
              <w:spacing w:after="40" w:line="276" w:lineRule="auto"/>
            </w:pPr>
            <w:r>
              <w:rPr>
                <w:sz w:val="18"/>
              </w:rPr>
              <w:t>Vocation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18ED1ECD">
            <w:pPr>
              <w:spacing w:after="40" w:line="276" w:lineRule="auto"/>
            </w:pPr>
            <w:r>
              <w:rPr>
                <w:sz w:val="18"/>
              </w:rPr>
              <w:t>长期角色/路径/现实化主线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5CF82D">
            <w:pPr>
              <w:spacing w:after="40" w:line="276" w:lineRule="auto"/>
            </w:pPr>
            <w:r>
              <w:rPr>
                <w:sz w:val="18"/>
              </w:rPr>
              <w:t>回答“通过什么角色、项目、技能去实现方向”</w:t>
            </w:r>
          </w:p>
        </w:tc>
      </w:tr>
    </w:tbl>
    <w:p w14:paraId="6B7715C8"/>
    <w:p w14:paraId="0DB36250">
      <w:pPr>
        <w:pStyle w:val="166"/>
      </w:pPr>
      <w:r>
        <w:t>二、Channel / Phase / Level / Trait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8C99A6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56329503">
            <w:r>
              <w:rPr>
                <w:b/>
                <w:sz w:val="19"/>
              </w:rPr>
              <w:t>字段</w:t>
            </w:r>
          </w:p>
        </w:tc>
        <w:tc>
          <w:tcPr>
            <w:tcW w:w="6690" w:type="dxa"/>
            <w:shd w:val="clear" w:color="auto" w:fill="DCE6F1"/>
            <w:vAlign w:val="center"/>
          </w:tcPr>
          <w:p w14:paraId="49F1552B">
            <w:r>
              <w:rPr>
                <w:b/>
                <w:sz w:val="19"/>
              </w:rPr>
              <w:t>内容</w:t>
            </w:r>
          </w:p>
        </w:tc>
      </w:tr>
      <w:tr w14:paraId="3074FB8A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1750179F">
            <w:pPr>
              <w:spacing w:after="40" w:line="288" w:lineRule="auto"/>
            </w:pPr>
            <w:r>
              <w:rPr>
                <w:sz w:val="19"/>
              </w:rPr>
              <w:t>Channel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0BFE39B4">
            <w:pPr>
              <w:spacing w:after="40" w:line="288" w:lineRule="auto"/>
            </w:pPr>
            <w:r>
              <w:rPr>
                <w:sz w:val="19"/>
              </w:rPr>
              <w:t>高阶决定变量，决定 Spirit / Vocation 的方向选择，也影响 Mind / Body 的投入方向与技能学习重点。</w:t>
            </w:r>
          </w:p>
        </w:tc>
      </w:tr>
      <w:tr w14:paraId="6B5F077A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E188709">
            <w:pPr>
              <w:spacing w:after="40" w:line="288" w:lineRule="auto"/>
            </w:pPr>
            <w:r>
              <w:rPr>
                <w:sz w:val="19"/>
              </w:rPr>
              <w:t>Phase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465B91C8">
            <w:pPr>
              <w:spacing w:after="40" w:line="288" w:lineRule="auto"/>
            </w:pPr>
            <w:r>
              <w:rPr>
                <w:sz w:val="19"/>
              </w:rPr>
              <w:t>阶段态。用于描述系统当前所处的发展/恢复/过载状态，并影响 Level 的解释口径。</w:t>
            </w:r>
          </w:p>
        </w:tc>
      </w:tr>
      <w:tr w14:paraId="2928461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0569601A">
            <w:pPr>
              <w:spacing w:after="40" w:line="288" w:lineRule="auto"/>
            </w:pPr>
            <w:r>
              <w:rPr>
                <w:sz w:val="19"/>
              </w:rPr>
              <w:t>Level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ED0C70D">
            <w:pPr>
              <w:spacing w:after="40" w:line="288" w:lineRule="auto"/>
            </w:pPr>
            <w:r>
              <w:rPr>
                <w:sz w:val="19"/>
              </w:rPr>
              <w:t>等级。Body / Mind 的能量与能力强弱标度；高层 Level 的提升可以触发 Spirit / Vocation 的阶段跃迁。</w:t>
            </w:r>
          </w:p>
        </w:tc>
      </w:tr>
      <w:tr w14:paraId="0C4AAD7E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370B5A63">
            <w:pPr>
              <w:spacing w:after="40" w:line="288" w:lineRule="auto"/>
            </w:pPr>
            <w:r>
              <w:rPr>
                <w:sz w:val="19"/>
              </w:rPr>
              <w:t>Trait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978263C">
            <w:pPr>
              <w:spacing w:after="40" w:line="288" w:lineRule="auto"/>
            </w:pPr>
            <w:r>
              <w:rPr>
                <w:sz w:val="19"/>
              </w:rPr>
              <w:t>聚合后的稳定特征。既可以是人格/行为模式，也可以是长期环境限制或高频耗能模式。</w:t>
            </w:r>
          </w:p>
        </w:tc>
      </w:tr>
    </w:tbl>
    <w:p w14:paraId="0A2CE7E9"/>
    <w:p w14:paraId="41EC2166">
      <w:pPr>
        <w:pStyle w:val="166"/>
      </w:pPr>
      <w:r>
        <w:t>三、Spirit 与 Vocation 的裁决定义</w:t>
      </w:r>
    </w:p>
    <w:p w14:paraId="22205A46">
      <w:pPr>
        <w:ind w:left="198" w:hanging="102"/>
      </w:pPr>
      <w:r>
        <w:rPr>
          <w:b/>
        </w:rPr>
        <w:t xml:space="preserve">• </w:t>
      </w:r>
      <w:r>
        <w:t>Spirit 不是泛泛的“热爱”或鸡汤式内驱，而是：主体在具体历史、社会、物质关系中形成的方向性意识、站位、矛盾识别与实践边界。</w:t>
      </w:r>
    </w:p>
    <w:p w14:paraId="16168ECD">
      <w:pPr>
        <w:ind w:left="198" w:hanging="102"/>
      </w:pPr>
      <w:r>
        <w:rPr>
          <w:b/>
        </w:rPr>
        <w:t xml:space="preserve">• </w:t>
      </w:r>
      <w:r>
        <w:t>Vocation 不是空泛职业理想，而是：在现实分工、制度与能力积累条件下，你选择通过哪些角色、项目、技能路径去实现 Spirit。</w:t>
      </w:r>
    </w:p>
    <w:p w14:paraId="228D74A7">
      <w:pPr>
        <w:ind w:left="198" w:hanging="102"/>
      </w:pPr>
      <w:r>
        <w:rPr>
          <w:b/>
        </w:rPr>
        <w:t xml:space="preserve">• </w:t>
      </w:r>
      <w:r>
        <w:t>Spirit 更像“方向原则”；Vocation 更像“现实落点与路径结构”。</w:t>
      </w:r>
    </w:p>
    <w:p w14:paraId="162FD0CE">
      <w:pPr>
        <w:ind w:left="198" w:hanging="102"/>
      </w:pPr>
      <w:r>
        <w:rPr>
          <w:b/>
        </w:rPr>
        <w:t xml:space="preserve">• </w:t>
      </w:r>
      <w:r>
        <w:t>两者不是割裂的：Spirit 负责决定该往哪边，Vocation 负责决定用什么路径、在哪个现实接口上落地。</w:t>
      </w:r>
    </w:p>
    <w:p w14:paraId="7A04802E">
      <w:pPr>
        <w:pStyle w:val="166"/>
      </w:pPr>
      <w:r>
        <w:t>四、事件、目标、关键节点</w:t>
      </w:r>
    </w:p>
    <w:tbl>
      <w:tblPr>
        <w:tblStyle w:val="33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14C5D3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041B7B32">
            <w:r>
              <w:rPr>
                <w:b/>
                <w:sz w:val="19"/>
              </w:rPr>
              <w:t>字段</w:t>
            </w:r>
          </w:p>
        </w:tc>
        <w:tc>
          <w:tcPr>
            <w:tcW w:w="6690" w:type="dxa"/>
            <w:shd w:val="clear" w:color="auto" w:fill="DCE6F1"/>
            <w:vAlign w:val="center"/>
          </w:tcPr>
          <w:p w14:paraId="3DCF439C">
            <w:r>
              <w:rPr>
                <w:b/>
                <w:sz w:val="19"/>
              </w:rPr>
              <w:t>内容</w:t>
            </w:r>
          </w:p>
        </w:tc>
      </w:tr>
      <w:tr w14:paraId="60C27446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21AFF749">
            <w:pPr>
              <w:spacing w:after="40" w:line="288" w:lineRule="auto"/>
            </w:pPr>
            <w:r>
              <w:rPr>
                <w:sz w:val="19"/>
              </w:rPr>
              <w:t>Event / 事件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561F21AE">
            <w:pPr>
              <w:spacing w:after="40" w:line="288" w:lineRule="auto"/>
            </w:pPr>
            <w:r>
              <w:rPr>
                <w:sz w:val="19"/>
              </w:rPr>
              <w:t>最小记录单位。一次事件可以同时推动多个象限。</w:t>
            </w:r>
          </w:p>
        </w:tc>
      </w:tr>
      <w:tr w14:paraId="41BC7D32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42F1BE0C">
            <w:pPr>
              <w:spacing w:after="40" w:line="288" w:lineRule="auto"/>
            </w:pPr>
            <w:r>
              <w:rPr>
                <w:sz w:val="19"/>
              </w:rPr>
              <w:t>Goal / 目标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1AECCD01">
            <w:pPr>
              <w:spacing w:after="40" w:line="288" w:lineRule="auto"/>
            </w:pPr>
            <w:r>
              <w:rPr>
                <w:sz w:val="19"/>
              </w:rPr>
              <w:t>阶段性想达到的结果，通常挂接到某个或多个 Channel。</w:t>
            </w:r>
          </w:p>
        </w:tc>
      </w:tr>
      <w:tr w14:paraId="6B3733E2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6DC35BF8">
            <w:pPr>
              <w:spacing w:after="40" w:line="288" w:lineRule="auto"/>
            </w:pPr>
            <w:r>
              <w:rPr>
                <w:sz w:val="19"/>
              </w:rPr>
              <w:t>Key Node / 关键节点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5D248E6">
            <w:pPr>
              <w:spacing w:after="40" w:line="288" w:lineRule="auto"/>
            </w:pPr>
            <w:r>
              <w:rPr>
                <w:sz w:val="19"/>
              </w:rPr>
              <w:t>在 Spirit / Vocation 中具有阶段跃迁意义的节点，完成后会改变系统标准或优先级。</w:t>
            </w:r>
          </w:p>
        </w:tc>
      </w:tr>
      <w:tr w14:paraId="4424B1DD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9FBFD"/>
            <w:vAlign w:val="center"/>
          </w:tcPr>
          <w:p w14:paraId="20D83892">
            <w:pPr>
              <w:spacing w:after="40" w:line="288" w:lineRule="auto"/>
            </w:pPr>
            <w:r>
              <w:rPr>
                <w:sz w:val="19"/>
              </w:rPr>
              <w:t>Snapshot / 快照</w:t>
            </w:r>
          </w:p>
        </w:tc>
        <w:tc>
          <w:tcPr>
            <w:tcW w:w="6690" w:type="dxa"/>
            <w:shd w:val="clear" w:color="auto" w:fill="FFFFFF"/>
            <w:vAlign w:val="center"/>
          </w:tcPr>
          <w:p w14:paraId="2702AEA4">
            <w:pPr>
              <w:spacing w:after="40" w:line="288" w:lineRule="auto"/>
            </w:pPr>
            <w:r>
              <w:rPr>
                <w:sz w:val="19"/>
              </w:rPr>
              <w:t>某一时间点对 Self Model / 周状态的冻结保存。</w:t>
            </w:r>
          </w:p>
        </w:tc>
      </w:tr>
    </w:tbl>
    <w:p w14:paraId="260D626B"/>
    <w:p w14:paraId="25EBF6ED">
      <w:pPr>
        <w:pStyle w:val="166"/>
      </w:pPr>
      <w:r>
        <w:t>五、当前已明确的示例关键节点</w:t>
      </w:r>
    </w:p>
    <w:tbl>
      <w:tblPr>
        <w:tblStyle w:val="32"/>
        <w:tblW w:w="0" w:type="auto"/>
        <w:jc w:val="center"/>
        <w:tblBorders>
          <w:top w:val="single" w:color="D0D7E5" w:sz="4" w:space="0"/>
          <w:left w:val="single" w:color="D0D7E5" w:sz="4" w:space="0"/>
          <w:bottom w:val="single" w:color="D0D7E5" w:sz="4" w:space="0"/>
          <w:right w:val="single" w:color="D0D7E5" w:sz="4" w:space="0"/>
          <w:insideH w:val="single" w:color="D0D7E5" w:sz="4" w:space="0"/>
          <w:insideV w:val="single" w:color="D0D7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E026E48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41C9F1FC">
            <w:r>
              <w:rPr>
                <w:b/>
                <w:sz w:val="18"/>
              </w:rPr>
              <w:t>领域</w:t>
            </w:r>
          </w:p>
        </w:tc>
        <w:tc>
          <w:tcPr>
            <w:tcW w:w="4082" w:type="dxa"/>
            <w:shd w:val="clear" w:color="auto" w:fill="DCE6F1"/>
            <w:vAlign w:val="center"/>
          </w:tcPr>
          <w:p w14:paraId="7B45EF8B">
            <w:r>
              <w:rPr>
                <w:b/>
                <w:sz w:val="18"/>
              </w:rPr>
              <w:t>关键节点</w:t>
            </w:r>
          </w:p>
        </w:tc>
        <w:tc>
          <w:tcPr>
            <w:tcW w:w="3288" w:type="dxa"/>
            <w:shd w:val="clear" w:color="auto" w:fill="DCE6F1"/>
            <w:vAlign w:val="center"/>
          </w:tcPr>
          <w:p w14:paraId="38630186">
            <w:r>
              <w:rPr>
                <w:b/>
                <w:sz w:val="18"/>
              </w:rPr>
              <w:t>状态说明</w:t>
            </w:r>
          </w:p>
        </w:tc>
      </w:tr>
      <w:tr w14:paraId="76D2A2C6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8FBFF"/>
            <w:vAlign w:val="center"/>
          </w:tcPr>
          <w:p w14:paraId="71349370">
            <w:pPr>
              <w:spacing w:after="40" w:line="276" w:lineRule="auto"/>
            </w:pPr>
            <w:r>
              <w:rPr>
                <w:sz w:val="18"/>
              </w:rPr>
              <w:t>Spirit</w:t>
            </w:r>
          </w:p>
        </w:tc>
        <w:tc>
          <w:tcPr>
            <w:tcW w:w="4082" w:type="dxa"/>
            <w:shd w:val="clear" w:color="auto" w:fill="F8FBFF"/>
            <w:vAlign w:val="center"/>
          </w:tcPr>
          <w:p w14:paraId="7275483A">
            <w:pPr>
              <w:spacing w:after="40" w:line="276" w:lineRule="auto"/>
            </w:pPr>
            <w:r>
              <w:rPr>
                <w:sz w:val="18"/>
              </w:rPr>
              <w:t>建立自己的决策模型</w:t>
            </w:r>
          </w:p>
        </w:tc>
        <w:tc>
          <w:tcPr>
            <w:tcW w:w="3288" w:type="dxa"/>
            <w:shd w:val="clear" w:color="auto" w:fill="F8FBFF"/>
            <w:vAlign w:val="center"/>
          </w:tcPr>
          <w:p w14:paraId="48311201">
            <w:pPr>
              <w:spacing w:after="40" w:line="276" w:lineRule="auto"/>
            </w:pPr>
            <w:r>
              <w:rPr>
                <w:sz w:val="18"/>
              </w:rPr>
              <w:t>已多次确认</w:t>
            </w:r>
          </w:p>
        </w:tc>
      </w:tr>
      <w:tr w14:paraId="2A3B07DF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4BE3EE9">
            <w:pPr>
              <w:spacing w:after="40" w:line="276" w:lineRule="auto"/>
            </w:pPr>
            <w:r>
              <w:rPr>
                <w:sz w:val="18"/>
              </w:rPr>
              <w:t>Spirit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E5A96AF">
            <w:pPr>
              <w:spacing w:after="40" w:line="276" w:lineRule="auto"/>
            </w:pPr>
            <w:r>
              <w:rPr>
                <w:sz w:val="18"/>
              </w:rPr>
              <w:t>处理家庭关系边界与能量保护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54C71F2">
            <w:pPr>
              <w:spacing w:after="40" w:line="276" w:lineRule="auto"/>
            </w:pPr>
            <w:r>
              <w:rPr>
                <w:sz w:val="18"/>
              </w:rPr>
              <w:t>已多次确认</w:t>
            </w:r>
          </w:p>
        </w:tc>
      </w:tr>
      <w:tr w14:paraId="7187B26C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8FBFF"/>
            <w:vAlign w:val="center"/>
          </w:tcPr>
          <w:p w14:paraId="5C27C217">
            <w:pPr>
              <w:spacing w:after="40" w:line="276" w:lineRule="auto"/>
            </w:pPr>
            <w:r>
              <w:rPr>
                <w:sz w:val="18"/>
              </w:rPr>
              <w:t>Vocation</w:t>
            </w:r>
          </w:p>
        </w:tc>
        <w:tc>
          <w:tcPr>
            <w:tcW w:w="4082" w:type="dxa"/>
            <w:shd w:val="clear" w:color="auto" w:fill="F8FBFF"/>
            <w:vAlign w:val="center"/>
          </w:tcPr>
          <w:p w14:paraId="71D7BD8F">
            <w:pPr>
              <w:spacing w:after="40" w:line="276" w:lineRule="auto"/>
            </w:pPr>
            <w:r>
              <w:rPr>
                <w:sz w:val="18"/>
              </w:rPr>
              <w:t>数学竞赛达到进入全国赛门槛</w:t>
            </w:r>
          </w:p>
        </w:tc>
        <w:tc>
          <w:tcPr>
            <w:tcW w:w="3288" w:type="dxa"/>
            <w:shd w:val="clear" w:color="auto" w:fill="F8FBFF"/>
            <w:vAlign w:val="center"/>
          </w:tcPr>
          <w:p w14:paraId="326D3BA1">
            <w:pPr>
              <w:spacing w:after="40" w:line="276" w:lineRule="auto"/>
            </w:pPr>
            <w:r>
              <w:rPr>
                <w:sz w:val="18"/>
              </w:rPr>
              <w:t>作为阈值节点</w:t>
            </w:r>
          </w:p>
        </w:tc>
      </w:tr>
      <w:tr w14:paraId="1042B0CD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DE0EEA0">
            <w:pPr>
              <w:spacing w:after="40" w:line="276" w:lineRule="auto"/>
            </w:pPr>
            <w:r>
              <w:rPr>
                <w:sz w:val="18"/>
              </w:rPr>
              <w:t>Vocation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36D4C73">
            <w:pPr>
              <w:spacing w:after="40" w:line="276" w:lineRule="auto"/>
            </w:pPr>
            <w:r>
              <w:rPr>
                <w:sz w:val="18"/>
              </w:rPr>
              <w:t>论文写作完成完整循环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65B4D458">
            <w:pPr>
              <w:spacing w:after="40" w:line="276" w:lineRule="auto"/>
            </w:pPr>
            <w:r>
              <w:rPr>
                <w:sz w:val="18"/>
              </w:rPr>
              <w:t>作为阈值节点</w:t>
            </w:r>
          </w:p>
        </w:tc>
      </w:tr>
      <w:tr w14:paraId="2420266A">
        <w:tblPrEx>
          <w:tblBorders>
            <w:top w:val="single" w:color="D0D7E5" w:sz="4" w:space="0"/>
            <w:left w:val="single" w:color="D0D7E5" w:sz="4" w:space="0"/>
            <w:bottom w:val="single" w:color="D0D7E5" w:sz="4" w:space="0"/>
            <w:right w:val="single" w:color="D0D7E5" w:sz="4" w:space="0"/>
            <w:insideH w:val="single" w:color="D0D7E5" w:sz="4" w:space="0"/>
            <w:insideV w:val="single" w:color="D0D7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8FBFF"/>
            <w:vAlign w:val="center"/>
          </w:tcPr>
          <w:p w14:paraId="4A806018">
            <w:pPr>
              <w:spacing w:after="40" w:line="276" w:lineRule="auto"/>
            </w:pPr>
            <w:r>
              <w:rPr>
                <w:sz w:val="18"/>
              </w:rPr>
              <w:t>Vocation</w:t>
            </w:r>
          </w:p>
        </w:tc>
        <w:tc>
          <w:tcPr>
            <w:tcW w:w="4082" w:type="dxa"/>
            <w:shd w:val="clear" w:color="auto" w:fill="F8FBFF"/>
            <w:vAlign w:val="center"/>
          </w:tcPr>
          <w:p w14:paraId="60A5305A">
            <w:pPr>
              <w:spacing w:after="40" w:line="276" w:lineRule="auto"/>
            </w:pPr>
            <w:r>
              <w:rPr>
                <w:sz w:val="18"/>
              </w:rPr>
              <w:t>数学建模国奖 / 力学竞赛国奖</w:t>
            </w:r>
          </w:p>
        </w:tc>
        <w:tc>
          <w:tcPr>
            <w:tcW w:w="3288" w:type="dxa"/>
            <w:shd w:val="clear" w:color="auto" w:fill="F8FBFF"/>
            <w:vAlign w:val="center"/>
          </w:tcPr>
          <w:p w14:paraId="355BED30">
            <w:pPr>
              <w:spacing w:after="40" w:line="276" w:lineRule="auto"/>
            </w:pPr>
            <w:r>
              <w:rPr>
                <w:sz w:val="18"/>
              </w:rPr>
              <w:t>作为后续冲刺节点</w:t>
            </w:r>
          </w:p>
        </w:tc>
      </w:tr>
    </w:tbl>
    <w:p w14:paraId="61E1CF45"/>
    <w:p w14:paraId="2B579D1A">
      <w:pPr>
        <w:pStyle w:val="166"/>
      </w:pPr>
      <w:r>
        <w:t>六、当前 Phase 口径</w:t>
      </w:r>
    </w:p>
    <w:p w14:paraId="68F39243">
      <w:pPr>
        <w:ind w:left="198" w:hanging="102"/>
      </w:pPr>
      <w:r>
        <w:rPr>
          <w:b/>
        </w:rPr>
        <w:t xml:space="preserve">• </w:t>
      </w:r>
      <w:r>
        <w:t>默认 Phase 枚举：reconstruction / stabilizing / exploration / expansion / overload / recovery。</w:t>
      </w:r>
    </w:p>
    <w:p w14:paraId="5AEB227C">
      <w:pPr>
        <w:ind w:left="198" w:hanging="102"/>
      </w:pPr>
      <w:r>
        <w:rPr>
          <w:b/>
        </w:rPr>
        <w:t xml:space="preserve">• </w:t>
      </w:r>
      <w:r>
        <w:t>你当前总相位被多次表述为 reconstruction（重建期）。</w:t>
      </w:r>
    </w:p>
    <w:p w14:paraId="105C9F54">
      <w:pPr>
        <w:ind w:left="198" w:hanging="102"/>
      </w:pPr>
      <w:r>
        <w:rPr>
          <w:b/>
        </w:rPr>
        <w:t xml:space="preserve">• </w:t>
      </w:r>
      <w:r>
        <w:t>Body 更接近 recovery_building；Spirit 更接近 stabilizing；Vocation 在 exploration_to_commitment 区间。</w:t>
      </w:r>
    </w:p>
    <w:tbl>
      <w:tblPr>
        <w:tblStyle w:val="32"/>
        <w:tblW w:w="0" w:type="auto"/>
        <w:jc w:val="center"/>
        <w:tblBorders>
          <w:top w:val="single" w:color="D8E6F3" w:sz="6" w:space="0"/>
          <w:left w:val="single" w:color="D8E6F3" w:sz="6" w:space="0"/>
          <w:bottom w:val="single" w:color="D8E6F3" w:sz="6" w:space="0"/>
          <w:right w:val="single" w:color="D8E6F3" w:sz="6" w:space="0"/>
          <w:insideH w:val="single" w:color="D8E6F3" w:sz="6" w:space="0"/>
          <w:insideV w:val="single" w:color="D8E6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B4ED44A">
        <w:tblPrEx>
          <w:tblBorders>
            <w:top w:val="single" w:color="D8E6F3" w:sz="6" w:space="0"/>
            <w:left w:val="single" w:color="D8E6F3" w:sz="6" w:space="0"/>
            <w:bottom w:val="single" w:color="D8E6F3" w:sz="6" w:space="0"/>
            <w:right w:val="single" w:color="D8E6F3" w:sz="6" w:space="0"/>
            <w:insideH w:val="single" w:color="D8E6F3" w:sz="6" w:space="0"/>
            <w:insideV w:val="single" w:color="D8E6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4F8FC"/>
          </w:tcPr>
          <w:p w14:paraId="4BE6E54A">
            <w:pPr>
              <w:pStyle w:val="170"/>
            </w:pPr>
            <w:r>
              <w:t>硬裁决：如果术语不稳，后续所有字段、提示词、数据库、AI判断都会变成伪精确。术语字典不是附属品，而是系统宪法的一部分。</w:t>
            </w:r>
          </w:p>
        </w:tc>
      </w:tr>
    </w:tbl>
    <w:p w14:paraId="659860DB"/>
    <w:sectPr>
      <w:headerReference r:id="rId5" w:type="default"/>
      <w:footerReference r:id="rId6" w:type="default"/>
      <w:pgSz w:w="12240" w:h="15840"/>
      <w:pgMar w:top="1247" w:right="1247" w:bottom="1134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99F80">
    <w:pPr>
      <w:pStyle w:val="24"/>
      <w:jc w:val="center"/>
    </w:pPr>
    <w:r>
      <w:rPr>
        <w:color w:val="6E6E6E"/>
        <w:sz w:val="18"/>
      </w:rPr>
      <w:t>负熵引擎知识包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6F465">
    <w:pPr>
      <w:pStyle w:val="169"/>
      <w:jc w:val="right"/>
    </w:pPr>
    <w:r>
      <w:t>术语字典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93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ustomTitle"/>
    <w:basedOn w:val="1"/>
    <w:uiPriority w:val="0"/>
    <w:pPr>
      <w:spacing w:after="120"/>
    </w:pPr>
    <w:rPr>
      <w:rFonts w:ascii="Saturday Sans Regular" w:hAnsi="Saturday Sans Regular" w:eastAsia="Saturday Sans Regular"/>
      <w:b/>
      <w:color w:val="1F4E79"/>
      <w:sz w:val="44"/>
    </w:rPr>
  </w:style>
  <w:style w:type="paragraph" w:customStyle="1" w:styleId="165">
    <w:name w:val="CustomSubtitle"/>
    <w:basedOn w:val="1"/>
    <w:uiPriority w:val="0"/>
    <w:pPr>
      <w:spacing w:after="240"/>
    </w:pPr>
    <w:rPr>
      <w:color w:val="5A5A5A"/>
      <w:sz w:val="20"/>
    </w:rPr>
  </w:style>
  <w:style w:type="paragraph" w:customStyle="1" w:styleId="166">
    <w:name w:val="CustomH1"/>
    <w:basedOn w:val="1"/>
    <w:qFormat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1F4E79"/>
      <w:sz w:val="30"/>
    </w:rPr>
  </w:style>
  <w:style w:type="paragraph" w:customStyle="1" w:styleId="167">
    <w:name w:val="CustomH2"/>
    <w:basedOn w:val="1"/>
    <w:uiPriority w:val="0"/>
    <w:pPr>
      <w:keepNext/>
      <w:spacing w:before="240" w:after="80"/>
    </w:pPr>
    <w:rPr>
      <w:rFonts w:ascii="Saturday Sans Regular" w:hAnsi="Saturday Sans Regular" w:eastAsia="Saturday Sans Regular"/>
      <w:b/>
      <w:color w:val="2F5496"/>
      <w:sz w:val="25"/>
    </w:rPr>
  </w:style>
  <w:style w:type="paragraph" w:customStyle="1" w:styleId="168">
    <w:name w:val="CustomH3"/>
    <w:basedOn w:val="1"/>
    <w:qFormat/>
    <w:uiPriority w:val="0"/>
    <w:pPr>
      <w:keepNext/>
      <w:spacing w:before="160" w:after="80"/>
    </w:pPr>
    <w:rPr>
      <w:rFonts w:ascii="Saturday Sans Regular" w:hAnsi="Saturday Sans Regular" w:eastAsia="Saturday Sans Regular"/>
      <w:b/>
      <w:color w:val="404040"/>
      <w:sz w:val="22"/>
    </w:rPr>
  </w:style>
  <w:style w:type="paragraph" w:customStyle="1" w:styleId="169">
    <w:name w:val="Small"/>
    <w:basedOn w:val="1"/>
    <w:uiPriority w:val="0"/>
    <w:rPr>
      <w:color w:val="646464"/>
      <w:sz w:val="18"/>
    </w:rPr>
  </w:style>
  <w:style w:type="paragraph" w:customStyle="1" w:styleId="170">
    <w:name w:val="Callout"/>
    <w:basedOn w:val="1"/>
    <w:uiPriority w:val="0"/>
    <w:pPr>
      <w:spacing w:before="80" w:after="120"/>
      <w:ind w:left="227" w:right="113"/>
    </w:pPr>
    <w:rPr>
      <w:color w:val="373737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1015</Words>
  <Characters>1392</Characters>
  <Lines>0</Lines>
  <Paragraphs>0</Paragraphs>
  <TotalTime>0</TotalTime>
  <ScaleCrop>false</ScaleCrop>
  <LinksUpToDate>false</LinksUpToDate>
  <CharactersWithSpaces>1484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魏裕轩</cp:lastModifiedBy>
  <dcterms:modified xsi:type="dcterms:W3CDTF">2026-03-26T08:58:51Z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eyJoZGlkIjoiMzA1YmQzOGI5ZDAwNGU2NWQ5OGY1OTU3NjQ5OTk2NWIiLCJ1c2VySWQiOiI2NDc0OTI1OTAifQ==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63C666DE5B81462EB13EF3CF50DA349A_12</vt:lpwstr>
  </property>
</Properties>
</file>