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535E67">
      <w:pPr>
        <w:pStyle w:val="164"/>
        <w:jc w:val="left"/>
      </w:pPr>
      <w:r>
        <w:t>负熵引擎 - 执行协议、边界与缺口</w:t>
      </w:r>
    </w:p>
    <w:p w14:paraId="75DBCEB1">
      <w:pPr>
        <w:pStyle w:val="165"/>
      </w:pPr>
      <w:r>
        <w:t>说明当前运行协议、接入取舍、AI边界，以及下一步必须补齐的问题。</w:t>
      </w:r>
    </w:p>
    <w:tbl>
      <w:tblPr>
        <w:tblStyle w:val="32"/>
        <w:tblW w:w="0" w:type="auto"/>
        <w:jc w:val="center"/>
        <w:tblBorders>
          <w:top w:val="single" w:color="C9D5EA" w:sz="4" w:space="0"/>
          <w:left w:val="single" w:color="C9D5EA" w:sz="4" w:space="0"/>
          <w:bottom w:val="single" w:color="C9D5EA" w:sz="4" w:space="0"/>
          <w:right w:val="single" w:color="C9D5EA" w:sz="4" w:space="0"/>
          <w:insideH w:val="single" w:color="C9D5EA" w:sz="4" w:space="0"/>
          <w:insideV w:val="single" w:color="C9D5E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2672F031">
        <w:tblPrEx>
          <w:tblBorders>
            <w:top w:val="single" w:color="C9D5EA" w:sz="4" w:space="0"/>
            <w:left w:val="single" w:color="C9D5EA" w:sz="4" w:space="0"/>
            <w:bottom w:val="single" w:color="C9D5EA" w:sz="4" w:space="0"/>
            <w:right w:val="single" w:color="C9D5EA" w:sz="4" w:space="0"/>
            <w:insideH w:val="single" w:color="C9D5EA" w:sz="4" w:space="0"/>
            <w:insideV w:val="single" w:color="C9D5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9FF"/>
            <w:vAlign w:val="center"/>
          </w:tcPr>
          <w:p w14:paraId="50A6BB4E">
            <w:r>
              <w:rPr>
                <w:b/>
                <w:sz w:val="19"/>
              </w:rPr>
              <w:t>状态：</w:t>
            </w:r>
            <w:r>
              <w:rPr>
                <w:sz w:val="19"/>
              </w:rPr>
              <w:t>内部整理版</w:t>
            </w:r>
          </w:p>
        </w:tc>
        <w:tc>
          <w:tcPr>
            <w:tcW w:w="3402" w:type="dxa"/>
            <w:shd w:val="clear" w:color="auto" w:fill="EEF4FF"/>
            <w:vAlign w:val="center"/>
          </w:tcPr>
          <w:p w14:paraId="7FCC0265">
            <w:r>
              <w:rPr>
                <w:b/>
                <w:sz w:val="19"/>
              </w:rPr>
              <w:t>日期：</w:t>
            </w:r>
            <w:r>
              <w:rPr>
                <w:sz w:val="19"/>
              </w:rPr>
              <w:t>2026-03-26</w:t>
            </w:r>
          </w:p>
        </w:tc>
        <w:tc>
          <w:tcPr>
            <w:tcW w:w="3685" w:type="dxa"/>
            <w:shd w:val="clear" w:color="auto" w:fill="F5F9FF"/>
            <w:vAlign w:val="center"/>
          </w:tcPr>
          <w:p w14:paraId="1D8C00AD">
            <w:r>
              <w:rPr>
                <w:b/>
                <w:sz w:val="19"/>
              </w:rPr>
              <w:t>用途：</w:t>
            </w:r>
            <w:r>
              <w:rPr>
                <w:sz w:val="19"/>
              </w:rPr>
              <w:t>作为当前冻结信息的可转交文档</w:t>
            </w:r>
          </w:p>
        </w:tc>
      </w:tr>
      <w:tr w14:paraId="05957B77">
        <w:tblPrEx>
          <w:tblBorders>
            <w:top w:val="single" w:color="C9D5EA" w:sz="4" w:space="0"/>
            <w:left w:val="single" w:color="C9D5EA" w:sz="4" w:space="0"/>
            <w:bottom w:val="single" w:color="C9D5EA" w:sz="4" w:space="0"/>
            <w:right w:val="single" w:color="C9D5EA" w:sz="4" w:space="0"/>
            <w:insideH w:val="single" w:color="C9D5EA" w:sz="4" w:space="0"/>
            <w:insideV w:val="single" w:color="C9D5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9FF"/>
            <w:vAlign w:val="center"/>
          </w:tcPr>
          <w:p w14:paraId="25ADE281">
            <w:r>
              <w:rPr>
                <w:b/>
                <w:sz w:val="19"/>
              </w:rPr>
              <w:t>适用范围：</w:t>
            </w:r>
            <w:r>
              <w:rPr>
                <w:sz w:val="19"/>
              </w:rPr>
              <w:t>负熵引擎 / 个人智能助手前置工程</w:t>
            </w:r>
          </w:p>
        </w:tc>
        <w:tc>
          <w:tcPr>
            <w:tcW w:w="3402" w:type="dxa"/>
            <w:shd w:val="clear" w:color="auto" w:fill="EEF4FF"/>
            <w:vAlign w:val="center"/>
          </w:tcPr>
          <w:p w14:paraId="6F75F26A">
            <w:r>
              <w:rPr>
                <w:b/>
                <w:sz w:val="19"/>
              </w:rPr>
              <w:t>口径：</w:t>
            </w:r>
            <w:r>
              <w:rPr>
                <w:sz w:val="19"/>
              </w:rPr>
              <w:t>仅收录已讨论到并已相对明确的信息</w:t>
            </w:r>
          </w:p>
        </w:tc>
        <w:tc>
          <w:tcPr>
            <w:tcW w:w="3685" w:type="dxa"/>
            <w:shd w:val="clear" w:color="auto" w:fill="F5F9FF"/>
            <w:vAlign w:val="center"/>
          </w:tcPr>
          <w:p w14:paraId="450105D8">
            <w:r>
              <w:rPr>
                <w:b/>
                <w:sz w:val="19"/>
              </w:rPr>
              <w:t>说明：</w:t>
            </w:r>
            <w:r>
              <w:rPr>
                <w:sz w:val="19"/>
              </w:rPr>
              <w:t>推断项与待确认项单独标记</w:t>
            </w:r>
          </w:p>
        </w:tc>
      </w:tr>
    </w:tbl>
    <w:p w14:paraId="6062B57E"/>
    <w:p w14:paraId="021F41F9">
      <w:pPr>
        <w:pStyle w:val="166"/>
      </w:pPr>
      <w:r>
        <w:t>一、运行协议</w:t>
      </w:r>
    </w:p>
    <w:p w14:paraId="2799D334">
      <w:pPr>
        <w:ind w:left="198" w:hanging="102"/>
      </w:pPr>
      <w:r>
        <w:rPr>
          <w:b/>
        </w:rPr>
        <w:t xml:space="preserve">• </w:t>
      </w:r>
      <w:r>
        <w:t>默认采用 Witness / 监督者式协作：系统负责裁决、追问、暴露偏差，不以安慰为首要任务。</w:t>
      </w:r>
    </w:p>
    <w:p w14:paraId="620D63CD">
      <w:pPr>
        <w:ind w:left="198" w:hanging="102"/>
      </w:pPr>
      <w:r>
        <w:rPr>
          <w:b/>
        </w:rPr>
        <w:t xml:space="preserve">• </w:t>
      </w:r>
      <w:r>
        <w:t>默认优先深挖与结构修正，不做灌输式整块输出；除非明确要求压缩为行动。</w:t>
      </w:r>
    </w:p>
    <w:p w14:paraId="7F86A82C">
      <w:pPr>
        <w:ind w:left="198" w:hanging="102"/>
      </w:pPr>
      <w:r>
        <w:rPr>
          <w:b/>
        </w:rPr>
        <w:t xml:space="preserve">• </w:t>
      </w:r>
      <w:r>
        <w:t>允许用‘人肉消息总线’方式运行：你保留主调度权，AI 与工具只作为函数和外部算力。</w:t>
      </w:r>
    </w:p>
    <w:p w14:paraId="15A2808A">
      <w:pPr>
        <w:pStyle w:val="166"/>
      </w:pPr>
      <w:r>
        <w:t>二、数据与监测协议</w:t>
      </w:r>
    </w:p>
    <w:p w14:paraId="28E3B83D">
      <w:pPr>
        <w:ind w:left="198" w:hanging="102"/>
      </w:pPr>
      <w:r>
        <w:rPr>
          <w:b/>
        </w:rPr>
        <w:t xml:space="preserve">• </w:t>
      </w:r>
      <w:r>
        <w:t>日常核心录入：事件记录、关键节点进度、周复盘。</w:t>
      </w:r>
    </w:p>
    <w:p w14:paraId="58DD989C">
      <w:pPr>
        <w:ind w:left="198" w:hanging="102"/>
      </w:pPr>
      <w:r>
        <w:rPr>
          <w:b/>
        </w:rPr>
        <w:t xml:space="preserve">• </w:t>
      </w:r>
      <w:r>
        <w:t>身体/状态监测协议已扩展：晨起握力、可选静息心率、3 分钟 PVT、主观量表（身体疲劳/精神疲劳/专注难度/压力/困倦）。</w:t>
      </w:r>
    </w:p>
    <w:p w14:paraId="682B6F60">
      <w:pPr>
        <w:ind w:left="198" w:hanging="102"/>
      </w:pPr>
      <w:r>
        <w:rPr>
          <w:b/>
        </w:rPr>
        <w:t xml:space="preserve">• </w:t>
      </w:r>
      <w:r>
        <w:t>这些监测项用于判断恢复、认知可用性与过载风险，并为绿黄红灯调度提供依据。</w:t>
      </w:r>
    </w:p>
    <w:p w14:paraId="08F12BCA">
      <w:pPr>
        <w:pStyle w:val="166"/>
      </w:pPr>
      <w:r>
        <w:t>三、程序稳定性与接入取舍</w:t>
      </w:r>
    </w:p>
    <w:tbl>
      <w:tblPr>
        <w:tblStyle w:val="33"/>
        <w:tblW w:w="0" w:type="auto"/>
        <w:jc w:val="center"/>
        <w:tblBorders>
          <w:top w:val="single" w:color="D0D7E5" w:sz="4" w:space="0"/>
          <w:left w:val="single" w:color="D0D7E5" w:sz="4" w:space="0"/>
          <w:bottom w:val="single" w:color="D0D7E5" w:sz="4" w:space="0"/>
          <w:right w:val="single" w:color="D0D7E5" w:sz="4" w:space="0"/>
          <w:insideH w:val="single" w:color="D0D7E5" w:sz="4" w:space="0"/>
          <w:insideV w:val="single" w:color="D0D7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40BCE320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CE6F1"/>
            <w:vAlign w:val="center"/>
          </w:tcPr>
          <w:p w14:paraId="61B48218">
            <w:r>
              <w:rPr>
                <w:b/>
                <w:sz w:val="19"/>
              </w:rPr>
              <w:t>议题</w:t>
            </w:r>
          </w:p>
        </w:tc>
        <w:tc>
          <w:tcPr>
            <w:tcW w:w="6690" w:type="dxa"/>
            <w:shd w:val="clear" w:color="auto" w:fill="DCE6F1"/>
            <w:vAlign w:val="center"/>
          </w:tcPr>
          <w:p w14:paraId="67B9F251">
            <w:r>
              <w:rPr>
                <w:b/>
                <w:sz w:val="19"/>
              </w:rPr>
              <w:t>当前裁决</w:t>
            </w:r>
          </w:p>
        </w:tc>
      </w:tr>
      <w:tr w14:paraId="360AA95F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9FBFD"/>
            <w:vAlign w:val="center"/>
          </w:tcPr>
          <w:p w14:paraId="7E49ADCD">
            <w:pPr>
              <w:spacing w:after="40" w:line="288" w:lineRule="auto"/>
            </w:pPr>
            <w:r>
              <w:rPr>
                <w:sz w:val="19"/>
              </w:rPr>
              <w:t>最高优先级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0621D92B">
            <w:pPr>
              <w:spacing w:after="40" w:line="288" w:lineRule="auto"/>
            </w:pPr>
            <w:r>
              <w:rPr>
                <w:sz w:val="19"/>
              </w:rPr>
              <w:t>程序稳定、结构简单、新手可理解</w:t>
            </w:r>
          </w:p>
        </w:tc>
      </w:tr>
      <w:tr w14:paraId="6C9275FB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9FBFD"/>
            <w:vAlign w:val="center"/>
          </w:tcPr>
          <w:p w14:paraId="4F67D15F">
            <w:pPr>
              <w:spacing w:after="40" w:line="288" w:lineRule="auto"/>
            </w:pPr>
            <w:r>
              <w:rPr>
                <w:sz w:val="19"/>
              </w:rPr>
              <w:t>对 OpenClaw 的态度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76D2853C">
            <w:pPr>
              <w:spacing w:after="40" w:line="288" w:lineRule="auto"/>
            </w:pPr>
            <w:r>
              <w:rPr>
                <w:sz w:val="19"/>
              </w:rPr>
              <w:t>可以作为接入壳层或对话入口，但不宜作为整个系统的高熵核心</w:t>
            </w:r>
          </w:p>
        </w:tc>
      </w:tr>
      <w:tr w14:paraId="29FB9E30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9FBFD"/>
            <w:vAlign w:val="center"/>
          </w:tcPr>
          <w:p w14:paraId="15F5379A">
            <w:pPr>
              <w:spacing w:after="40" w:line="288" w:lineRule="auto"/>
            </w:pPr>
            <w:r>
              <w:rPr>
                <w:sz w:val="19"/>
              </w:rPr>
              <w:t>对 飞书 / 多维表格 的态度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150F4636">
            <w:pPr>
              <w:spacing w:after="40" w:line="288" w:lineRule="auto"/>
            </w:pPr>
            <w:r>
              <w:rPr>
                <w:sz w:val="19"/>
              </w:rPr>
              <w:t>适合做第一阶段数据采集与调试容器</w:t>
            </w:r>
          </w:p>
        </w:tc>
      </w:tr>
      <w:tr w14:paraId="4DD44FB3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9FBFD"/>
            <w:vAlign w:val="center"/>
          </w:tcPr>
          <w:p w14:paraId="40B1A303">
            <w:pPr>
              <w:spacing w:after="40" w:line="288" w:lineRule="auto"/>
            </w:pPr>
            <w:r>
              <w:rPr>
                <w:sz w:val="19"/>
              </w:rPr>
              <w:t>对 ColorOS / 荣耀手表 的态度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7F4CCB75">
            <w:pPr>
              <w:spacing w:after="40" w:line="288" w:lineRule="auto"/>
            </w:pPr>
            <w:r>
              <w:rPr>
                <w:sz w:val="19"/>
              </w:rPr>
              <w:t>属于后期外设和仪式化接入层，不应反客为主</w:t>
            </w:r>
          </w:p>
        </w:tc>
      </w:tr>
      <w:tr w14:paraId="55F04615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9FBFD"/>
            <w:vAlign w:val="center"/>
          </w:tcPr>
          <w:p w14:paraId="4FB053E3">
            <w:pPr>
              <w:spacing w:after="40" w:line="288" w:lineRule="auto"/>
            </w:pPr>
            <w:r>
              <w:rPr>
                <w:sz w:val="19"/>
              </w:rPr>
              <w:t>对全自动 Agent 的态度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2348763F">
            <w:pPr>
              <w:spacing w:after="40" w:line="288" w:lineRule="auto"/>
            </w:pPr>
            <w:r>
              <w:rPr>
                <w:sz w:val="19"/>
              </w:rPr>
              <w:t>明确拒绝幻想；当前主张人工掌控上下文与裁决</w:t>
            </w:r>
          </w:p>
        </w:tc>
      </w:tr>
    </w:tbl>
    <w:p w14:paraId="7184F31A"/>
    <w:p w14:paraId="2B5E7BF4">
      <w:pPr>
        <w:pStyle w:val="166"/>
      </w:pPr>
      <w:r>
        <w:t>四、AI 的边界</w:t>
      </w:r>
    </w:p>
    <w:p w14:paraId="1204B994">
      <w:pPr>
        <w:ind w:left="198" w:hanging="102"/>
      </w:pPr>
      <w:r>
        <w:rPr>
          <w:b/>
        </w:rPr>
        <w:t xml:space="preserve">• </w:t>
      </w:r>
      <w:r>
        <w:t>AI 可以辅助解释、归类、总结和提出裁决候选，但不能替代概念冻结和最终主权判断。</w:t>
      </w:r>
    </w:p>
    <w:p w14:paraId="0A70F6BD">
      <w:pPr>
        <w:ind w:left="198" w:hanging="102"/>
      </w:pPr>
      <w:r>
        <w:rPr>
          <w:b/>
        </w:rPr>
        <w:t xml:space="preserve">• </w:t>
      </w:r>
      <w:r>
        <w:t>当输入语言过于含糊、语义信息商过高、字段对照不清时，系统必须先做术语/字段澄清，而不是继续强行生成。</w:t>
      </w:r>
    </w:p>
    <w:p w14:paraId="104D0E4D">
      <w:pPr>
        <w:ind w:left="198" w:hanging="102"/>
      </w:pPr>
      <w:r>
        <w:rPr>
          <w:b/>
        </w:rPr>
        <w:t xml:space="preserve">• </w:t>
      </w:r>
      <w:r>
        <w:t>‘已理解’不等于‘已解决’。系统必须警惕把流畅解释误当成真实收敛。</w:t>
      </w:r>
    </w:p>
    <w:p w14:paraId="04C3978C">
      <w:pPr>
        <w:pStyle w:val="166"/>
      </w:pPr>
      <w:r>
        <w:t>五、当前最关键的缺口</w:t>
      </w:r>
    </w:p>
    <w:tbl>
      <w:tblPr>
        <w:tblStyle w:val="32"/>
        <w:tblW w:w="0" w:type="auto"/>
        <w:jc w:val="center"/>
        <w:tblBorders>
          <w:top w:val="single" w:color="D0D7E5" w:sz="4" w:space="0"/>
          <w:left w:val="single" w:color="D0D7E5" w:sz="4" w:space="0"/>
          <w:bottom w:val="single" w:color="D0D7E5" w:sz="4" w:space="0"/>
          <w:right w:val="single" w:color="D0D7E5" w:sz="4" w:space="0"/>
          <w:insideH w:val="single" w:color="D0D7E5" w:sz="4" w:space="0"/>
          <w:insideV w:val="single" w:color="D0D7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57A4B20B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shd w:val="clear" w:color="auto" w:fill="DCE6F1"/>
            <w:vAlign w:val="center"/>
          </w:tcPr>
          <w:p w14:paraId="745BF309">
            <w:r>
              <w:rPr>
                <w:b/>
                <w:sz w:val="18"/>
              </w:rPr>
              <w:t>缺口</w:t>
            </w:r>
          </w:p>
        </w:tc>
        <w:tc>
          <w:tcPr>
            <w:tcW w:w="4195" w:type="dxa"/>
            <w:shd w:val="clear" w:color="auto" w:fill="DCE6F1"/>
            <w:vAlign w:val="center"/>
          </w:tcPr>
          <w:p w14:paraId="579B83BE">
            <w:r>
              <w:rPr>
                <w:b/>
                <w:sz w:val="18"/>
              </w:rPr>
              <w:t>为什么关键</w:t>
            </w:r>
          </w:p>
        </w:tc>
        <w:tc>
          <w:tcPr>
            <w:tcW w:w="2438" w:type="dxa"/>
            <w:shd w:val="clear" w:color="auto" w:fill="DCE6F1"/>
            <w:vAlign w:val="center"/>
          </w:tcPr>
          <w:p w14:paraId="7A9B818B">
            <w:r>
              <w:rPr>
                <w:b/>
                <w:sz w:val="18"/>
              </w:rPr>
              <w:t>当前状态</w:t>
            </w:r>
          </w:p>
        </w:tc>
      </w:tr>
      <w:tr w14:paraId="4B39DEB0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shd w:val="clear" w:color="auto" w:fill="F8FBFF"/>
            <w:vAlign w:val="center"/>
          </w:tcPr>
          <w:p w14:paraId="37FE4B83">
            <w:pPr>
              <w:spacing w:after="40" w:line="276" w:lineRule="auto"/>
            </w:pPr>
            <w:r>
              <w:rPr>
                <w:sz w:val="18"/>
              </w:rPr>
              <w:t>任务记录层的模糊语言问题</w:t>
            </w:r>
          </w:p>
        </w:tc>
        <w:tc>
          <w:tcPr>
            <w:tcW w:w="4195" w:type="dxa"/>
            <w:shd w:val="clear" w:color="auto" w:fill="F8FBFF"/>
            <w:vAlign w:val="center"/>
          </w:tcPr>
          <w:p w14:paraId="1DFC28DD">
            <w:pPr>
              <w:spacing w:after="40" w:line="276" w:lineRule="auto"/>
            </w:pPr>
            <w:r>
              <w:rPr>
                <w:sz w:val="18"/>
              </w:rPr>
              <w:t>如果自然语言无法稳定映射字段，后续所有统计和裁决都会偏移</w:t>
            </w:r>
          </w:p>
        </w:tc>
        <w:tc>
          <w:tcPr>
            <w:tcW w:w="2438" w:type="dxa"/>
            <w:shd w:val="clear" w:color="auto" w:fill="F8FBFF"/>
            <w:vAlign w:val="center"/>
          </w:tcPr>
          <w:p w14:paraId="00F591DE">
            <w:pPr>
              <w:spacing w:after="40" w:line="276" w:lineRule="auto"/>
            </w:pPr>
            <w:r>
              <w:rPr>
                <w:sz w:val="18"/>
              </w:rPr>
              <w:t>已识别，待给出规范化补丁</w:t>
            </w:r>
          </w:p>
        </w:tc>
      </w:tr>
      <w:tr w14:paraId="4125AB7A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shd w:val="clear" w:color="auto" w:fill="FFFFFF"/>
            <w:vAlign w:val="center"/>
          </w:tcPr>
          <w:p w14:paraId="57F7AEF0">
            <w:pPr>
              <w:spacing w:after="40" w:line="276" w:lineRule="auto"/>
            </w:pPr>
            <w:r>
              <w:rPr>
                <w:sz w:val="18"/>
              </w:rPr>
              <w:t>schema.json 与 schema.sql 的最终冻结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296DF1E">
            <w:pPr>
              <w:spacing w:after="40" w:line="276" w:lineRule="auto"/>
            </w:pPr>
            <w:r>
              <w:rPr>
                <w:sz w:val="18"/>
              </w:rPr>
              <w:t>没有它们，工程实现会继续漂移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71146FF5">
            <w:pPr>
              <w:spacing w:after="40" w:line="276" w:lineRule="auto"/>
            </w:pPr>
            <w:r>
              <w:rPr>
                <w:sz w:val="18"/>
              </w:rPr>
              <w:t>已明确需要，尚未在本次包内生成</w:t>
            </w:r>
          </w:p>
        </w:tc>
      </w:tr>
      <w:tr w14:paraId="5B5158AC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</w:tblPrEx>
        <w:trPr>
          <w:jc w:val="center"/>
        </w:trPr>
        <w:tc>
          <w:tcPr>
            <w:tcW w:w="2438" w:type="dxa"/>
            <w:shd w:val="clear" w:color="auto" w:fill="F8FBFF"/>
            <w:vAlign w:val="center"/>
          </w:tcPr>
          <w:p w14:paraId="3F08EE66">
            <w:pPr>
              <w:spacing w:after="40" w:line="276" w:lineRule="auto"/>
            </w:pPr>
            <w:r>
              <w:rPr>
                <w:sz w:val="18"/>
              </w:rPr>
              <w:t>Channel Contribution Model 的公式口径</w:t>
            </w:r>
          </w:p>
        </w:tc>
        <w:tc>
          <w:tcPr>
            <w:tcW w:w="4195" w:type="dxa"/>
            <w:shd w:val="clear" w:color="auto" w:fill="F8FBFF"/>
            <w:vAlign w:val="center"/>
          </w:tcPr>
          <w:p w14:paraId="543280B6">
            <w:pPr>
              <w:spacing w:after="40" w:line="276" w:lineRule="auto"/>
            </w:pPr>
            <w:r>
              <w:rPr>
                <w:sz w:val="18"/>
              </w:rPr>
              <w:t>1.5 推导层需要它，否则仍偏人工解释</w:t>
            </w:r>
          </w:p>
        </w:tc>
        <w:tc>
          <w:tcPr>
            <w:tcW w:w="2438" w:type="dxa"/>
            <w:shd w:val="clear" w:color="auto" w:fill="F8FBFF"/>
            <w:vAlign w:val="center"/>
          </w:tcPr>
          <w:p w14:paraId="1C3F9982">
            <w:pPr>
              <w:spacing w:after="40" w:line="276" w:lineRule="auto"/>
            </w:pPr>
            <w:r>
              <w:rPr>
                <w:sz w:val="18"/>
              </w:rPr>
              <w:t>方向明确，公式未冻结</w:t>
            </w:r>
          </w:p>
        </w:tc>
      </w:tr>
      <w:tr w14:paraId="42BFBBFC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shd w:val="clear" w:color="auto" w:fill="FFFFFF"/>
            <w:vAlign w:val="center"/>
          </w:tcPr>
          <w:p w14:paraId="3A09030C">
            <w:pPr>
              <w:spacing w:after="40" w:line="276" w:lineRule="auto"/>
            </w:pPr>
            <w:r>
              <w:rPr>
                <w:sz w:val="18"/>
              </w:rPr>
              <w:t>共享化版本需要的权限/模板/隐私边界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3586C38">
            <w:pPr>
              <w:spacing w:after="40" w:line="276" w:lineRule="auto"/>
            </w:pPr>
            <w:r>
              <w:rPr>
                <w:sz w:val="18"/>
              </w:rPr>
              <w:t>如果要给他人使用，必须重新定义哪些信息是个人私有的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0AC14E7C">
            <w:pPr>
              <w:spacing w:after="40" w:line="276" w:lineRule="auto"/>
            </w:pPr>
            <w:r>
              <w:rPr>
                <w:sz w:val="18"/>
              </w:rPr>
              <w:t>未开始</w:t>
            </w:r>
          </w:p>
        </w:tc>
      </w:tr>
    </w:tbl>
    <w:p w14:paraId="30592D34"/>
    <w:p w14:paraId="13ABAF12">
      <w:pPr>
        <w:pStyle w:val="166"/>
      </w:pPr>
      <w:r>
        <w:t>六、下一步最合理动作</w:t>
      </w:r>
    </w:p>
    <w:p w14:paraId="2696FBD5">
      <w:pPr>
        <w:ind w:left="198" w:hanging="102"/>
      </w:pPr>
      <w:r>
        <w:rPr>
          <w:b/>
        </w:rPr>
        <w:t xml:space="preserve">• </w:t>
      </w:r>
      <w:r>
        <w:t>先基于本套文档生成</w:t>
      </w:r>
      <w:bookmarkStart w:id="0" w:name="_GoBack"/>
      <w:r>
        <w:t xml:space="preserve"> schema.sql / self_model.schema.json / init_self_model.json 的最新</w:t>
      </w:r>
      <w:bookmarkEnd w:id="0"/>
      <w:r>
        <w:t>冻结版。</w:t>
      </w:r>
    </w:p>
    <w:p w14:paraId="3E79DBE8">
      <w:pPr>
        <w:ind w:left="198" w:hanging="102"/>
      </w:pPr>
      <w:r>
        <w:rPr>
          <w:b/>
        </w:rPr>
        <w:t xml:space="preserve">• </w:t>
      </w:r>
      <w:r>
        <w:t>再补一层‘模糊语言 -&gt; 字段映射’的输入规范与校验逻辑。</w:t>
      </w:r>
    </w:p>
    <w:p w14:paraId="16A6DD79">
      <w:pPr>
        <w:ind w:left="198" w:hanging="102"/>
      </w:pPr>
      <w:r>
        <w:rPr>
          <w:b/>
        </w:rPr>
        <w:t xml:space="preserve">• </w:t>
      </w:r>
      <w:r>
        <w:t>最后才考虑把 OpenClaw / 飞书 / Web 壳层接上，而不是反过来。</w:t>
      </w:r>
    </w:p>
    <w:tbl>
      <w:tblPr>
        <w:tblStyle w:val="32"/>
        <w:tblW w:w="0" w:type="auto"/>
        <w:jc w:val="center"/>
        <w:tblBorders>
          <w:top w:val="single" w:color="D8E6F3" w:sz="6" w:space="0"/>
          <w:left w:val="single" w:color="D8E6F3" w:sz="6" w:space="0"/>
          <w:bottom w:val="single" w:color="D8E6F3" w:sz="6" w:space="0"/>
          <w:right w:val="single" w:color="D8E6F3" w:sz="6" w:space="0"/>
          <w:insideH w:val="single" w:color="D8E6F3" w:sz="6" w:space="0"/>
          <w:insideV w:val="single" w:color="D8E6F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4B8B553">
        <w:tblPrEx>
          <w:tblBorders>
            <w:top w:val="single" w:color="D8E6F3" w:sz="6" w:space="0"/>
            <w:left w:val="single" w:color="D8E6F3" w:sz="6" w:space="0"/>
            <w:bottom w:val="single" w:color="D8E6F3" w:sz="6" w:space="0"/>
            <w:right w:val="single" w:color="D8E6F3" w:sz="6" w:space="0"/>
            <w:insideH w:val="single" w:color="D8E6F3" w:sz="6" w:space="0"/>
            <w:insideV w:val="single" w:color="D8E6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shd w:val="clear" w:color="auto" w:fill="F4F8FC"/>
          </w:tcPr>
          <w:p w14:paraId="5CFA43C6">
            <w:pPr>
              <w:pStyle w:val="170"/>
            </w:pPr>
            <w:r>
              <w:t>硬裁决：你现在真正缺的不是更多功能，而是把‘已确定内容’压成稳定工件。只要工件不稳，任何新接入都会把熵重新放大。</w:t>
            </w:r>
          </w:p>
        </w:tc>
      </w:tr>
    </w:tbl>
    <w:p w14:paraId="78FE983B"/>
    <w:sectPr>
      <w:headerReference r:id="rId5" w:type="default"/>
      <w:footerReference r:id="rId6" w:type="default"/>
      <w:pgSz w:w="12240" w:h="15840"/>
      <w:pgMar w:top="1247" w:right="1247" w:bottom="1134" w:left="1247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ＭＳ 明朝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ＭＳ 明朝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ＭＳ 明朝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aturday Sans Regular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FW筑紫明朝 简 M">
    <w:panose1 w:val="02000600000000000000"/>
    <w:charset w:val="86"/>
    <w:family w:val="auto"/>
    <w:pitch w:val="default"/>
    <w:sig w:usb0="A00002BF" w:usb1="184F6CFA" w:usb2="00000012" w:usb3="00000000" w:csb0="0004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3E433E">
    <w:pPr>
      <w:pStyle w:val="24"/>
      <w:jc w:val="center"/>
    </w:pPr>
    <w:r>
      <w:rPr>
        <w:color w:val="6E6E6E"/>
        <w:sz w:val="18"/>
      </w:rPr>
      <w:t>负熵引擎知识包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BFFAD4">
    <w:pPr>
      <w:pStyle w:val="169"/>
      <w:jc w:val="right"/>
    </w:pPr>
    <w:r>
      <w:t>协议与缺口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32C3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Saturday Sans Regular" w:hAnsi="Saturday Sans Regular" w:eastAsia="Saturday Sans Regular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方正FW筑紫明朝 简 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方正FW筑紫明朝 简 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 New" w:hAnsi="Courier New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ustomTitle"/>
    <w:basedOn w:val="1"/>
    <w:uiPriority w:val="0"/>
    <w:pPr>
      <w:spacing w:after="120"/>
    </w:pPr>
    <w:rPr>
      <w:rFonts w:ascii="Saturday Sans Regular" w:hAnsi="Saturday Sans Regular" w:eastAsia="Saturday Sans Regular"/>
      <w:b/>
      <w:color w:val="1F4E79"/>
      <w:sz w:val="44"/>
    </w:rPr>
  </w:style>
  <w:style w:type="paragraph" w:customStyle="1" w:styleId="165">
    <w:name w:val="CustomSubtitle"/>
    <w:basedOn w:val="1"/>
    <w:uiPriority w:val="0"/>
    <w:pPr>
      <w:spacing w:after="240"/>
    </w:pPr>
    <w:rPr>
      <w:color w:val="5A5A5A"/>
      <w:sz w:val="20"/>
    </w:rPr>
  </w:style>
  <w:style w:type="paragraph" w:customStyle="1" w:styleId="166">
    <w:name w:val="CustomH1"/>
    <w:basedOn w:val="1"/>
    <w:uiPriority w:val="0"/>
    <w:pPr>
      <w:keepNext/>
      <w:spacing w:before="240" w:after="80"/>
    </w:pPr>
    <w:rPr>
      <w:rFonts w:ascii="Saturday Sans Regular" w:hAnsi="Saturday Sans Regular" w:eastAsia="Saturday Sans Regular"/>
      <w:b/>
      <w:color w:val="1F4E79"/>
      <w:sz w:val="30"/>
    </w:rPr>
  </w:style>
  <w:style w:type="paragraph" w:customStyle="1" w:styleId="167">
    <w:name w:val="CustomH2"/>
    <w:basedOn w:val="1"/>
    <w:uiPriority w:val="0"/>
    <w:pPr>
      <w:keepNext/>
      <w:spacing w:before="240" w:after="80"/>
    </w:pPr>
    <w:rPr>
      <w:rFonts w:ascii="Saturday Sans Regular" w:hAnsi="Saturday Sans Regular" w:eastAsia="Saturday Sans Regular"/>
      <w:b/>
      <w:color w:val="2F5496"/>
      <w:sz w:val="25"/>
    </w:rPr>
  </w:style>
  <w:style w:type="paragraph" w:customStyle="1" w:styleId="168">
    <w:name w:val="CustomH3"/>
    <w:basedOn w:val="1"/>
    <w:uiPriority w:val="0"/>
    <w:pPr>
      <w:keepNext/>
      <w:spacing w:before="160" w:after="80"/>
    </w:pPr>
    <w:rPr>
      <w:rFonts w:ascii="Saturday Sans Regular" w:hAnsi="Saturday Sans Regular" w:eastAsia="Saturday Sans Regular"/>
      <w:b/>
      <w:color w:val="404040"/>
      <w:sz w:val="22"/>
    </w:rPr>
  </w:style>
  <w:style w:type="paragraph" w:customStyle="1" w:styleId="169">
    <w:name w:val="Small"/>
    <w:basedOn w:val="1"/>
    <w:uiPriority w:val="0"/>
    <w:rPr>
      <w:color w:val="646464"/>
      <w:sz w:val="18"/>
    </w:rPr>
  </w:style>
  <w:style w:type="paragraph" w:customStyle="1" w:styleId="170">
    <w:name w:val="Callout"/>
    <w:basedOn w:val="1"/>
    <w:uiPriority w:val="0"/>
    <w:pPr>
      <w:spacing w:before="80" w:after="120"/>
      <w:ind w:left="227" w:right="113"/>
    </w:pPr>
    <w:rPr>
      <w:color w:val="373737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994</Words>
  <Characters>1133</Characters>
  <Lines>0</Lines>
  <Paragraphs>0</Paragraphs>
  <TotalTime>0</TotalTime>
  <ScaleCrop>false</ScaleCrop>
  <LinksUpToDate>false</LinksUpToDate>
  <CharactersWithSpaces>1190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魏裕轩</cp:lastModifiedBy>
  <dcterms:modified xsi:type="dcterms:W3CDTF">2026-03-26T08:58:53Z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eyJoZGlkIjoiMzA1YmQzOGI5ZDAwNGU2NWQ5OGY1OTU3NjQ5OTk2NWIiLCJ1c2VySWQiOiI2NDc0OTI1OTAifQ==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3402A47653A74B518459E647E173BDB7_12</vt:lpwstr>
  </property>
</Properties>
</file>