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0" w:line="300" w:lineRule="auto"/>
        <w:rPr>
          <w:b w:val="1"/>
          <w:color w:val="1f2328"/>
          <w:sz w:val="48"/>
          <w:szCs w:val="48"/>
        </w:rPr>
      </w:pPr>
      <w:bookmarkStart w:colFirst="0" w:colLast="0" w:name="_hl3xazqggbcx" w:id="0"/>
      <w:bookmarkEnd w:id="0"/>
      <w:r w:rsidDel="00000000" w:rsidR="00000000" w:rsidRPr="00000000">
        <w:rPr>
          <w:b w:val="1"/>
          <w:color w:val="1f2328"/>
          <w:sz w:val="48"/>
          <w:szCs w:val="48"/>
          <w:rtl w:val="0"/>
        </w:rPr>
        <w:t xml:space="preserve">Mining_SOPs</w:t>
      </w:r>
    </w:p>
    <w:p w:rsidR="00000000" w:rsidDel="00000000" w:rsidP="00000000" w:rsidRDefault="00000000" w:rsidRPr="00000000" w14:paraId="00000002">
      <w:pPr>
        <w:shd w:fill="ffffff" w:val="clear"/>
        <w:rPr>
          <w:b w:val="1"/>
          <w:color w:val="1f2328"/>
          <w:sz w:val="24"/>
          <w:szCs w:val="24"/>
        </w:rPr>
      </w:pPr>
      <w:r w:rsidDel="00000000" w:rsidR="00000000" w:rsidRPr="00000000">
        <w:rPr>
          <w:b w:val="1"/>
          <w:color w:val="1f2328"/>
          <w:sz w:val="24"/>
          <w:szCs w:val="24"/>
          <w:rtl w:val="0"/>
        </w:rPr>
        <w:t xml:space="preserve">Bitcoin and Crypto Mining Standard Operating Procedure Templates</w:t>
      </w:r>
    </w:p>
    <w:p w:rsidR="00000000" w:rsidDel="00000000" w:rsidP="00000000" w:rsidRDefault="00000000" w:rsidRPr="00000000" w14:paraId="00000003">
      <w:pPr>
        <w:shd w:fill="ffffff" w:val="clear"/>
        <w:rPr>
          <w:color w:val="1f2328"/>
          <w:sz w:val="24"/>
          <w:szCs w:val="24"/>
        </w:rPr>
      </w:pPr>
      <w:r w:rsidDel="00000000" w:rsidR="00000000" w:rsidRPr="00000000">
        <w:rPr>
          <w:rtl w:val="0"/>
        </w:rPr>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This repository contains a collection of Standard Operating Procedure (SOP) templates for Bitcoin mining operations of various sizes. These templates are designed to help Bitcoin mining operations establish and maintain best practices, ensure consistency, and improve efficiency.</w:t>
      </w:r>
    </w:p>
    <w:p w:rsidR="00000000" w:rsidDel="00000000" w:rsidP="00000000" w:rsidRDefault="00000000" w:rsidRPr="00000000" w14:paraId="00000005">
      <w:pPr>
        <w:shd w:fill="ffffff" w:val="clear"/>
        <w:rPr>
          <w:color w:val="1f2328"/>
          <w:sz w:val="24"/>
          <w:szCs w:val="24"/>
        </w:rPr>
      </w:pPr>
      <w:r w:rsidDel="00000000" w:rsidR="00000000" w:rsidRPr="00000000">
        <w:rPr>
          <w:rtl w:val="0"/>
        </w:rPr>
      </w:r>
    </w:p>
    <w:p w:rsidR="00000000" w:rsidDel="00000000" w:rsidP="00000000" w:rsidRDefault="00000000" w:rsidRPr="00000000" w14:paraId="00000006">
      <w:pPr>
        <w:shd w:fill="ffffff" w:val="clear"/>
        <w:rPr>
          <w:color w:val="1f2328"/>
          <w:sz w:val="24"/>
          <w:szCs w:val="24"/>
        </w:rPr>
      </w:pPr>
      <w:r w:rsidDel="00000000" w:rsidR="00000000" w:rsidRPr="00000000">
        <w:rPr>
          <w:color w:val="1f2328"/>
          <w:sz w:val="24"/>
          <w:szCs w:val="24"/>
          <w:rtl w:val="0"/>
        </w:rPr>
        <w:t xml:space="preserve">What are IT Standard Operating Procedures (IT SOPs)? IT SOPs are detailed, written documents that describe specific IT departments and data center procedures. They are crucial for creating and maintaining uniform, reliable outcomes for your data center functions. SOPs are useful for:</w:t>
      </w:r>
    </w:p>
    <w:p w:rsidR="00000000" w:rsidDel="00000000" w:rsidP="00000000" w:rsidRDefault="00000000" w:rsidRPr="00000000" w14:paraId="00000007">
      <w:pPr>
        <w:shd w:fill="ffffff" w:val="clear"/>
        <w:rPr>
          <w:color w:val="1f2328"/>
          <w:sz w:val="24"/>
          <w:szCs w:val="24"/>
        </w:rPr>
      </w:pPr>
      <w:r w:rsidDel="00000000" w:rsidR="00000000" w:rsidRPr="00000000">
        <w:rPr>
          <w:rtl w:val="0"/>
        </w:rPr>
      </w:r>
    </w:p>
    <w:p w:rsidR="00000000" w:rsidDel="00000000" w:rsidP="00000000" w:rsidRDefault="00000000" w:rsidRPr="00000000" w14:paraId="00000008">
      <w:pPr>
        <w:numPr>
          <w:ilvl w:val="0"/>
          <w:numId w:val="7"/>
        </w:numPr>
        <w:shd w:fill="ffffff" w:val="clear"/>
        <w:ind w:left="720" w:hanging="360"/>
        <w:rPr>
          <w:color w:val="1f2328"/>
          <w:sz w:val="24"/>
          <w:szCs w:val="24"/>
        </w:rPr>
      </w:pPr>
      <w:r w:rsidDel="00000000" w:rsidR="00000000" w:rsidRPr="00000000">
        <w:rPr>
          <w:color w:val="1f2328"/>
          <w:sz w:val="24"/>
          <w:szCs w:val="24"/>
          <w:rtl w:val="0"/>
        </w:rPr>
        <w:t xml:space="preserve">Onboarding new IT employees </w:t>
      </w:r>
    </w:p>
    <w:p w:rsidR="00000000" w:rsidDel="00000000" w:rsidP="00000000" w:rsidRDefault="00000000" w:rsidRPr="00000000" w14:paraId="00000009">
      <w:pPr>
        <w:numPr>
          <w:ilvl w:val="0"/>
          <w:numId w:val="7"/>
        </w:numPr>
        <w:shd w:fill="ffffff" w:val="clear"/>
        <w:ind w:left="720" w:hanging="360"/>
        <w:rPr>
          <w:color w:val="1f2328"/>
          <w:sz w:val="24"/>
          <w:szCs w:val="24"/>
        </w:rPr>
      </w:pPr>
      <w:r w:rsidDel="00000000" w:rsidR="00000000" w:rsidRPr="00000000">
        <w:rPr>
          <w:color w:val="1f2328"/>
          <w:sz w:val="24"/>
          <w:szCs w:val="24"/>
          <w:rtl w:val="0"/>
        </w:rPr>
        <w:t xml:space="preserve">Starting new projects Documenting existing practices </w:t>
      </w:r>
    </w:p>
    <w:p w:rsidR="00000000" w:rsidDel="00000000" w:rsidP="00000000" w:rsidRDefault="00000000" w:rsidRPr="00000000" w14:paraId="0000000A">
      <w:pPr>
        <w:numPr>
          <w:ilvl w:val="0"/>
          <w:numId w:val="7"/>
        </w:numPr>
        <w:shd w:fill="ffffff" w:val="clear"/>
        <w:ind w:left="720" w:hanging="360"/>
        <w:rPr>
          <w:color w:val="1f2328"/>
          <w:sz w:val="24"/>
          <w:szCs w:val="24"/>
        </w:rPr>
      </w:pPr>
      <w:r w:rsidDel="00000000" w:rsidR="00000000" w:rsidRPr="00000000">
        <w:rPr>
          <w:color w:val="1f2328"/>
          <w:sz w:val="24"/>
          <w:szCs w:val="24"/>
          <w:rtl w:val="0"/>
        </w:rPr>
        <w:t xml:space="preserve">Training and disaster recovery </w:t>
      </w:r>
    </w:p>
    <w:p w:rsidR="00000000" w:rsidDel="00000000" w:rsidP="00000000" w:rsidRDefault="00000000" w:rsidRPr="00000000" w14:paraId="0000000B">
      <w:pPr>
        <w:numPr>
          <w:ilvl w:val="0"/>
          <w:numId w:val="7"/>
        </w:numPr>
        <w:shd w:fill="ffffff" w:val="clear"/>
        <w:ind w:left="720" w:hanging="360"/>
        <w:rPr>
          <w:color w:val="1f2328"/>
          <w:sz w:val="24"/>
          <w:szCs w:val="24"/>
        </w:rPr>
      </w:pPr>
      <w:r w:rsidDel="00000000" w:rsidR="00000000" w:rsidRPr="00000000">
        <w:rPr>
          <w:color w:val="1f2328"/>
          <w:sz w:val="24"/>
          <w:szCs w:val="24"/>
          <w:rtl w:val="0"/>
        </w:rPr>
        <w:t xml:space="preserve">Ensuring compliance with regulations</w:t>
      </w:r>
    </w:p>
    <w:p w:rsidR="00000000" w:rsidDel="00000000" w:rsidP="00000000" w:rsidRDefault="00000000" w:rsidRPr="00000000" w14:paraId="0000000C">
      <w:pPr>
        <w:shd w:fill="ffffff" w:val="clear"/>
        <w:rPr>
          <w:color w:val="1f2328"/>
          <w:sz w:val="24"/>
          <w:szCs w:val="24"/>
        </w:rPr>
      </w:pPr>
      <w:r w:rsidDel="00000000" w:rsidR="00000000" w:rsidRPr="00000000">
        <w:rPr>
          <w:rtl w:val="0"/>
        </w:rPr>
      </w:r>
    </w:p>
    <w:p w:rsidR="00000000" w:rsidDel="00000000" w:rsidP="00000000" w:rsidRDefault="00000000" w:rsidRPr="00000000" w14:paraId="0000000D">
      <w:pPr>
        <w:shd w:fill="ffffff" w:val="clear"/>
        <w:rPr>
          <w:color w:val="1f2328"/>
          <w:sz w:val="24"/>
          <w:szCs w:val="24"/>
        </w:rPr>
      </w:pPr>
      <w:r w:rsidDel="00000000" w:rsidR="00000000" w:rsidRPr="00000000">
        <w:rPr>
          <w:color w:val="1f2328"/>
          <w:sz w:val="24"/>
          <w:szCs w:val="24"/>
          <w:rtl w:val="0"/>
        </w:rPr>
        <w:t xml:space="preserve">Contents This repository includes the following SOP templates: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zevco8h0ybe" w:id="1"/>
      <w:bookmarkEnd w:id="1"/>
      <w:r w:rsidDel="00000000" w:rsidR="00000000" w:rsidRPr="00000000">
        <w:rPr>
          <w:b w:val="1"/>
          <w:sz w:val="34"/>
          <w:szCs w:val="34"/>
          <w:rtl w:val="0"/>
        </w:rPr>
        <w:t xml:space="preserve">Operational Scale-Based SOPs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o06k6mzber3" w:id="2"/>
      <w:bookmarkEnd w:id="2"/>
      <w:r w:rsidDel="00000000" w:rsidR="00000000" w:rsidRPr="00000000">
        <w:rPr>
          <w:b w:val="1"/>
          <w:color w:val="000000"/>
          <w:sz w:val="26"/>
          <w:szCs w:val="26"/>
          <w:rtl w:val="0"/>
        </w:rPr>
        <w:t xml:space="preserve">Bitcoin Mining Operations</w:t>
      </w:r>
    </w:p>
    <w:p w:rsidR="00000000" w:rsidDel="00000000" w:rsidP="00000000" w:rsidRDefault="00000000" w:rsidRPr="00000000" w14:paraId="00000010">
      <w:pPr>
        <w:numPr>
          <w:ilvl w:val="0"/>
          <w:numId w:val="1"/>
        </w:numPr>
        <w:spacing w:after="0" w:afterAutospacing="0" w:before="240" w:lineRule="auto"/>
        <w:ind w:left="720" w:hanging="360"/>
        <w:rPr>
          <w:color w:val="000000"/>
          <w:sz w:val="22"/>
          <w:szCs w:val="22"/>
        </w:rPr>
      </w:pPr>
      <w:r w:rsidDel="00000000" w:rsidR="00000000" w:rsidRPr="00000000">
        <w:rPr>
          <w:b w:val="1"/>
          <w:rtl w:val="0"/>
        </w:rPr>
        <w:t xml:space="preserve">Standard Operating Procedure (SOP) for Bitcoin Mining in a Garage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Guidelines for small-scale, home-based mining setups.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Individual miners or hobbyists operating mining rigs from residential garages.</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000000"/>
          <w:sz w:val="22"/>
          <w:szCs w:val="22"/>
        </w:rPr>
      </w:pPr>
      <w:r w:rsidDel="00000000" w:rsidR="00000000" w:rsidRPr="00000000">
        <w:rPr>
          <w:b w:val="1"/>
          <w:rtl w:val="0"/>
        </w:rPr>
        <w:t xml:space="preserve">Standard Operating Procedure (SOP) for Mid-Sized Bitcoin Mining Operations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Procedures for medium-sized facilities with moderate mining capacity.</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Organizations running multiple mining rigs in dedicated facilities.</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000000"/>
          <w:sz w:val="22"/>
          <w:szCs w:val="22"/>
        </w:rPr>
      </w:pPr>
      <w:r w:rsidDel="00000000" w:rsidR="00000000" w:rsidRPr="00000000">
        <w:rPr>
          <w:b w:val="1"/>
          <w:rtl w:val="0"/>
        </w:rPr>
        <w:t xml:space="preserve">Standard Operating Procedure (SOP) for Large-Scale Bitcoin Mining Operations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Comprehensive guidelines for extensive mining farms with high computational power and significant infrastructure.</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Enterprises operating large-scale mining operations with substantial energy and cooling requirements.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c0v43s1bgdy" w:id="3"/>
      <w:bookmarkEnd w:id="3"/>
      <w:r w:rsidDel="00000000" w:rsidR="00000000" w:rsidRPr="00000000">
        <w:rPr>
          <w:b w:val="1"/>
          <w:sz w:val="34"/>
          <w:szCs w:val="34"/>
          <w:rtl w:val="0"/>
        </w:rPr>
        <w:t xml:space="preserve">Functional Area SOPs</w:t>
      </w:r>
    </w:p>
    <w:p w:rsidR="00000000" w:rsidDel="00000000" w:rsidP="00000000" w:rsidRDefault="00000000" w:rsidRPr="00000000" w14:paraId="0000001A">
      <w:pPr>
        <w:spacing w:after="240" w:before="240" w:lineRule="auto"/>
        <w:rPr/>
      </w:pPr>
      <w:r w:rsidDel="00000000" w:rsidR="00000000" w:rsidRPr="00000000">
        <w:rPr>
          <w:rtl w:val="0"/>
        </w:rPr>
        <w:t xml:space="preserve">These SOPs focus on specific operational functions within the mining organization, ensuring specialized processes are standardized and optimized.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4ik8an6mvis5" w:id="4"/>
      <w:bookmarkEnd w:id="4"/>
      <w:r w:rsidDel="00000000" w:rsidR="00000000" w:rsidRPr="00000000">
        <w:rPr>
          <w:b w:val="1"/>
          <w:color w:val="000000"/>
          <w:sz w:val="26"/>
          <w:szCs w:val="26"/>
          <w:rtl w:val="0"/>
        </w:rPr>
        <w:t xml:space="preserve">Security Management</w:t>
      </w:r>
    </w:p>
    <w:p w:rsidR="00000000" w:rsidDel="00000000" w:rsidP="00000000" w:rsidRDefault="00000000" w:rsidRPr="00000000" w14:paraId="0000001C">
      <w:pPr>
        <w:numPr>
          <w:ilvl w:val="0"/>
          <w:numId w:val="4"/>
        </w:numPr>
        <w:spacing w:after="0" w:afterAutospacing="0" w:before="240" w:lineRule="auto"/>
        <w:ind w:left="720" w:hanging="360"/>
        <w:rPr/>
      </w:pPr>
      <w:r w:rsidDel="00000000" w:rsidR="00000000" w:rsidRPr="00000000">
        <w:rPr>
          <w:b w:val="1"/>
          <w:rtl w:val="0"/>
        </w:rPr>
        <w:t xml:space="preserve">Standard Operating Procedure (SOP) for Physical Security of a Medium-Sized Bitcoin Mining Facility</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Strategies and measures to secure physical assets and infrastructure.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Access control, surveillance systems, perimeter security, and incident response.</w:t>
      </w:r>
    </w:p>
    <w:p w:rsidR="00000000" w:rsidDel="00000000" w:rsidP="00000000" w:rsidRDefault="00000000" w:rsidRPr="00000000" w14:paraId="0000001F">
      <w:pPr>
        <w:numPr>
          <w:ilvl w:val="0"/>
          <w:numId w:val="4"/>
        </w:numPr>
        <w:spacing w:after="0" w:afterAutospacing="0" w:before="0" w:beforeAutospacing="0" w:lineRule="auto"/>
        <w:ind w:left="720" w:hanging="360"/>
        <w:rPr/>
      </w:pPr>
      <w:r w:rsidDel="00000000" w:rsidR="00000000" w:rsidRPr="00000000">
        <w:rPr>
          <w:b w:val="1"/>
          <w:rtl w:val="0"/>
        </w:rPr>
        <w:t xml:space="preserve">Standard Operating Procedure (SOP) for Incident Response</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Structured approach for managing incidents that disrupt operations or compromise security.</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Incident identification, response protocols, communication plans, and post-incident review.</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6ah4831msdxo" w:id="5"/>
      <w:bookmarkEnd w:id="5"/>
      <w:r w:rsidDel="00000000" w:rsidR="00000000" w:rsidRPr="00000000">
        <w:rPr>
          <w:b w:val="1"/>
          <w:color w:val="000000"/>
          <w:sz w:val="26"/>
          <w:szCs w:val="26"/>
          <w:rtl w:val="0"/>
        </w:rPr>
        <w:t xml:space="preserve">Technical Operations</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b w:val="1"/>
          <w:rtl w:val="0"/>
        </w:rPr>
        <w:t xml:space="preserve">Standard Operating Procedure (SOP) for Cooling and HVAC Operations in a Medium-Sized Bitcoin Mining Facility</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Management of cooling systems to maintain optimal operating temperatures.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Installation, system configuration, daily operations, maintenance, and troubleshooting.</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b w:val="1"/>
          <w:rtl w:val="0"/>
        </w:rPr>
        <w:t xml:space="preserve">Standard Operating Procedure (SOP) for Electrical Technicians in a Medium-Sized Bitcoin Mining Organization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Guidelines for electrical maintenance and management within the facility.</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Installation, routine maintenance, troubleshooting, and compliance with electrical codes.</w:t>
      </w:r>
    </w:p>
    <w:p w:rsidR="00000000" w:rsidDel="00000000" w:rsidP="00000000" w:rsidRDefault="00000000" w:rsidRPr="00000000" w14:paraId="00000029">
      <w:pPr>
        <w:numPr>
          <w:ilvl w:val="0"/>
          <w:numId w:val="2"/>
        </w:numPr>
        <w:spacing w:after="0" w:afterAutospacing="0" w:before="0" w:beforeAutospacing="0" w:lineRule="auto"/>
        <w:ind w:left="720" w:hanging="360"/>
        <w:rPr/>
      </w:pPr>
      <w:r w:rsidDel="00000000" w:rsidR="00000000" w:rsidRPr="00000000">
        <w:rPr>
          <w:b w:val="1"/>
          <w:rtl w:val="0"/>
        </w:rPr>
        <w:t xml:space="preserve">Standard Operating Procedure (SOP) for Bitcoin Mining Machine Technician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Procedures for installing, maintaining, and troubleshooting mining hardware.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Hardware setup, software configuration, performance optimization, and repair protocols.</w:t>
      </w:r>
    </w:p>
    <w:p w:rsidR="00000000" w:rsidDel="00000000" w:rsidP="00000000" w:rsidRDefault="00000000" w:rsidRPr="00000000" w14:paraId="0000002C">
      <w:pPr>
        <w:numPr>
          <w:ilvl w:val="0"/>
          <w:numId w:val="2"/>
        </w:numPr>
        <w:spacing w:after="0" w:afterAutospacing="0" w:before="0" w:beforeAutospacing="0" w:lineRule="auto"/>
        <w:ind w:left="720" w:hanging="360"/>
        <w:rPr/>
      </w:pPr>
      <w:r w:rsidDel="00000000" w:rsidR="00000000" w:rsidRPr="00000000">
        <w:rPr>
          <w:b w:val="1"/>
          <w:rtl w:val="0"/>
        </w:rPr>
        <w:t xml:space="preserve">Standard Operating Procedure (SOP) for Energy Management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Strategies to optimize energy usage, reduce costs, and enhance sustainability.</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Energy monitoring, efficiency strategies, renewable energy integration, and reporting.</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27o0d5tb10c" w:id="6"/>
      <w:bookmarkEnd w:id="6"/>
      <w:r w:rsidDel="00000000" w:rsidR="00000000" w:rsidRPr="00000000">
        <w:rPr>
          <w:b w:val="1"/>
          <w:color w:val="000000"/>
          <w:sz w:val="26"/>
          <w:szCs w:val="26"/>
          <w:rtl w:val="0"/>
        </w:rPr>
        <w:t xml:space="preserve">Human Resources and Training</w:t>
      </w:r>
    </w:p>
    <w:p w:rsidR="00000000" w:rsidDel="00000000" w:rsidP="00000000" w:rsidRDefault="00000000" w:rsidRPr="00000000" w14:paraId="00000030">
      <w:pPr>
        <w:numPr>
          <w:ilvl w:val="0"/>
          <w:numId w:val="5"/>
        </w:numPr>
        <w:spacing w:after="0" w:afterAutospacing="0" w:before="240" w:lineRule="auto"/>
        <w:ind w:left="720" w:hanging="360"/>
        <w:rPr/>
      </w:pPr>
      <w:r w:rsidDel="00000000" w:rsidR="00000000" w:rsidRPr="00000000">
        <w:rPr>
          <w:b w:val="1"/>
          <w:rtl w:val="0"/>
        </w:rPr>
        <w:t xml:space="preserve">Standard Operating Procedure (SOP) for Employee Training, Onboarding, and Human Resources (HR)</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Comprehensive guidelines for recruiting, onboarding, training, and managing employees.</w:t>
      </w:r>
    </w:p>
    <w:p w:rsidR="00000000" w:rsidDel="00000000" w:rsidP="00000000" w:rsidRDefault="00000000" w:rsidRPr="00000000" w14:paraId="00000032">
      <w:pPr>
        <w:numPr>
          <w:ilvl w:val="1"/>
          <w:numId w:val="5"/>
        </w:numPr>
        <w:spacing w:after="24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Recruitment, onboarding processes, training programs, performance management, and employee relations.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do4mcfr496ah" w:id="7"/>
      <w:bookmarkEnd w:id="7"/>
      <w:r w:rsidDel="00000000" w:rsidR="00000000" w:rsidRPr="00000000">
        <w:rPr>
          <w:b w:val="1"/>
          <w:color w:val="000000"/>
          <w:sz w:val="26"/>
          <w:szCs w:val="26"/>
          <w:rtl w:val="0"/>
        </w:rPr>
        <w:t xml:space="preserve">Compliance and Legal</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b w:val="1"/>
          <w:rtl w:val="0"/>
        </w:rPr>
        <w:t xml:space="preserve">Standard Operating Procedure (SOP) for Compliance and Legal</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Ensuring adherence to all relevant laws, regulations, and industry standards.</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Regulatory compliance, licensing and permits, data protection, and legal documentation.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xv97w5hl4i8" w:id="8"/>
      <w:bookmarkEnd w:id="8"/>
      <w:r w:rsidDel="00000000" w:rsidR="00000000" w:rsidRPr="00000000">
        <w:rPr>
          <w:b w:val="1"/>
          <w:color w:val="000000"/>
          <w:sz w:val="26"/>
          <w:szCs w:val="26"/>
          <w:rtl w:val="0"/>
        </w:rPr>
        <w:t xml:space="preserve">Organizational Structure</w:t>
      </w:r>
    </w:p>
    <w:p w:rsidR="00000000" w:rsidDel="00000000" w:rsidP="00000000" w:rsidRDefault="00000000" w:rsidRPr="00000000" w14:paraId="00000038">
      <w:pPr>
        <w:numPr>
          <w:ilvl w:val="0"/>
          <w:numId w:val="1"/>
        </w:numPr>
        <w:spacing w:after="0" w:afterAutospacing="0" w:before="240" w:lineRule="auto"/>
        <w:ind w:left="720" w:hanging="360"/>
        <w:rPr>
          <w:color w:val="000000"/>
          <w:sz w:val="22"/>
          <w:szCs w:val="22"/>
        </w:rPr>
      </w:pPr>
      <w:r w:rsidDel="00000000" w:rsidR="00000000" w:rsidRPr="00000000">
        <w:rPr>
          <w:b w:val="1"/>
          <w:rtl w:val="0"/>
        </w:rPr>
        <w:t xml:space="preserve">Organizational Roles for a Medium-Sized Bitcoin Mining Operation</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Defines roles, responsibilities, and hierarchical structure within the organization.</w:t>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 Job descriptions, reporting lines, role-specific responsibilities, and team structures.</w:t>
      </w:r>
    </w:p>
    <w:p w:rsidR="00000000" w:rsidDel="00000000" w:rsidP="00000000" w:rsidRDefault="00000000" w:rsidRPr="00000000" w14:paraId="0000003B">
      <w:pPr>
        <w:shd w:fill="ffffff" w:val="clea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3C">
      <w:pPr>
        <w:shd w:fill="ffffff" w:val="clear"/>
        <w:rPr>
          <w:color w:val="1f2328"/>
          <w:sz w:val="24"/>
          <w:szCs w:val="24"/>
        </w:rPr>
      </w:pPr>
      <w:r w:rsidDel="00000000" w:rsidR="00000000" w:rsidRPr="00000000">
        <w:rPr>
          <w:rtl w:val="0"/>
        </w:rPr>
      </w:r>
    </w:p>
    <w:p w:rsidR="00000000" w:rsidDel="00000000" w:rsidP="00000000" w:rsidRDefault="00000000" w:rsidRPr="00000000" w14:paraId="0000003D">
      <w:pPr>
        <w:shd w:fill="ffffff" w:val="clear"/>
        <w:rPr>
          <w:b w:val="1"/>
          <w:color w:val="1f2328"/>
          <w:sz w:val="24"/>
          <w:szCs w:val="24"/>
        </w:rPr>
      </w:pPr>
      <w:r w:rsidDel="00000000" w:rsidR="00000000" w:rsidRPr="00000000">
        <w:rPr>
          <w:b w:val="1"/>
          <w:color w:val="1f2328"/>
          <w:sz w:val="24"/>
          <w:szCs w:val="24"/>
          <w:rtl w:val="0"/>
        </w:rPr>
        <w:t xml:space="preserve">SOP Best Practices When creating and/or modifying your SOPs:</w:t>
      </w:r>
    </w:p>
    <w:p w:rsidR="00000000" w:rsidDel="00000000" w:rsidP="00000000" w:rsidRDefault="00000000" w:rsidRPr="00000000" w14:paraId="0000003E">
      <w:pPr>
        <w:shd w:fill="ffffff" w:val="clear"/>
        <w:rPr>
          <w:color w:val="1f2328"/>
          <w:sz w:val="24"/>
          <w:szCs w:val="24"/>
        </w:rPr>
      </w:pPr>
      <w:r w:rsidDel="00000000" w:rsidR="00000000" w:rsidRPr="00000000">
        <w:rPr>
          <w:color w:val="1f2328"/>
          <w:sz w:val="24"/>
          <w:szCs w:val="24"/>
          <w:rtl w:val="0"/>
        </w:rPr>
        <w:t xml:space="preserve">Include concise, step-by-step instructions Align with industry best practices Ensure data security and integrity Improve communication Operationalize policies Maintain organizational knowledge Streamline processes for efficiency</w:t>
      </w:r>
    </w:p>
    <w:p w:rsidR="00000000" w:rsidDel="00000000" w:rsidP="00000000" w:rsidRDefault="00000000" w:rsidRPr="00000000" w14:paraId="0000003F">
      <w:pPr>
        <w:shd w:fill="ffffff" w:val="clear"/>
        <w:rPr>
          <w:color w:val="1f2328"/>
          <w:sz w:val="24"/>
          <w:szCs w:val="24"/>
        </w:rPr>
      </w:pPr>
      <w:r w:rsidDel="00000000" w:rsidR="00000000" w:rsidRPr="00000000">
        <w:rPr>
          <w:rtl w:val="0"/>
        </w:rPr>
      </w:r>
    </w:p>
    <w:p w:rsidR="00000000" w:rsidDel="00000000" w:rsidP="00000000" w:rsidRDefault="00000000" w:rsidRPr="00000000" w14:paraId="00000040">
      <w:pPr>
        <w:shd w:fill="ffffff" w:val="clear"/>
        <w:rPr>
          <w:color w:val="1f2328"/>
          <w:sz w:val="24"/>
          <w:szCs w:val="24"/>
        </w:rPr>
      </w:pPr>
      <w:r w:rsidDel="00000000" w:rsidR="00000000" w:rsidRPr="00000000">
        <w:rPr>
          <w:color w:val="1f2328"/>
          <w:sz w:val="24"/>
          <w:szCs w:val="24"/>
          <w:rtl w:val="0"/>
        </w:rPr>
        <w:t xml:space="preserve">Remember, SOPs apply to all users, regardless of whether they are onsite or working remotely.</w:t>
      </w:r>
    </w:p>
    <w:p w:rsidR="00000000" w:rsidDel="00000000" w:rsidP="00000000" w:rsidRDefault="00000000" w:rsidRPr="00000000" w14:paraId="00000041">
      <w:pPr>
        <w:shd w:fill="ffffff" w:val="clear"/>
        <w:rPr>
          <w:color w:val="1f2328"/>
          <w:sz w:val="24"/>
          <w:szCs w:val="24"/>
        </w:rPr>
      </w:pPr>
      <w:r w:rsidDel="00000000" w:rsidR="00000000" w:rsidRPr="00000000">
        <w:rPr>
          <w:rtl w:val="0"/>
        </w:rPr>
      </w:r>
    </w:p>
    <w:p w:rsidR="00000000" w:rsidDel="00000000" w:rsidP="00000000" w:rsidRDefault="00000000" w:rsidRPr="00000000" w14:paraId="00000042">
      <w:pPr>
        <w:shd w:fill="ffffff" w:val="clear"/>
        <w:rPr>
          <w:b w:val="1"/>
          <w:color w:val="1f2328"/>
          <w:sz w:val="24"/>
          <w:szCs w:val="24"/>
        </w:rPr>
      </w:pPr>
      <w:r w:rsidDel="00000000" w:rsidR="00000000" w:rsidRPr="00000000">
        <w:rPr>
          <w:b w:val="1"/>
          <w:color w:val="1f2328"/>
          <w:sz w:val="24"/>
          <w:szCs w:val="24"/>
          <w:rtl w:val="0"/>
        </w:rPr>
        <w:t xml:space="preserve">How to Use These Templates</w:t>
      </w:r>
    </w:p>
    <w:p w:rsidR="00000000" w:rsidDel="00000000" w:rsidP="00000000" w:rsidRDefault="00000000" w:rsidRPr="00000000" w14:paraId="00000043">
      <w:pPr>
        <w:shd w:fill="ffffff" w:val="clear"/>
        <w:rPr>
          <w:color w:val="1f2328"/>
          <w:sz w:val="24"/>
          <w:szCs w:val="24"/>
        </w:rPr>
      </w:pPr>
      <w:r w:rsidDel="00000000" w:rsidR="00000000" w:rsidRPr="00000000">
        <w:rPr>
          <w:color w:val="1f2328"/>
          <w:sz w:val="24"/>
          <w:szCs w:val="24"/>
          <w:rtl w:val="0"/>
        </w:rPr>
        <w:t xml:space="preserve">Choose the appropriate template for your operation size and specific needs. Customize the template to fit your organization's specific requirements. Break down procedures into steps, hierarchies, or flowcharts. Get feedback from stakeholders and team members who execute the processes. Refine and test the procedures. Compile all components into a comprehensive SOP document.</w:t>
      </w:r>
    </w:p>
    <w:p w:rsidR="00000000" w:rsidDel="00000000" w:rsidP="00000000" w:rsidRDefault="00000000" w:rsidRPr="00000000" w14:paraId="00000044">
      <w:pPr>
        <w:shd w:fill="ffffff" w:val="clear"/>
        <w:rPr>
          <w:color w:val="1f2328"/>
          <w:sz w:val="24"/>
          <w:szCs w:val="24"/>
        </w:rPr>
      </w:pPr>
      <w:r w:rsidDel="00000000" w:rsidR="00000000" w:rsidRPr="00000000">
        <w:rPr>
          <w:rtl w:val="0"/>
        </w:rPr>
      </w:r>
    </w:p>
    <w:p w:rsidR="00000000" w:rsidDel="00000000" w:rsidP="00000000" w:rsidRDefault="00000000" w:rsidRPr="00000000" w14:paraId="00000045">
      <w:pPr>
        <w:shd w:fill="ffffff" w:val="clear"/>
        <w:rPr>
          <w:b w:val="1"/>
          <w:color w:val="1f2328"/>
          <w:sz w:val="24"/>
          <w:szCs w:val="24"/>
        </w:rPr>
      </w:pPr>
      <w:r w:rsidDel="00000000" w:rsidR="00000000" w:rsidRPr="00000000">
        <w:rPr>
          <w:b w:val="1"/>
          <w:color w:val="1f2328"/>
          <w:sz w:val="24"/>
          <w:szCs w:val="24"/>
          <w:rtl w:val="0"/>
        </w:rPr>
        <w:t xml:space="preserve">Maintaining Your SOPs SOPs are living documents. </w:t>
      </w:r>
    </w:p>
    <w:p w:rsidR="00000000" w:rsidDel="00000000" w:rsidP="00000000" w:rsidRDefault="00000000" w:rsidRPr="00000000" w14:paraId="00000046">
      <w:pPr>
        <w:shd w:fill="ffffff" w:val="clear"/>
        <w:rPr>
          <w:color w:val="1f2328"/>
          <w:sz w:val="24"/>
          <w:szCs w:val="24"/>
        </w:rPr>
      </w:pPr>
      <w:r w:rsidDel="00000000" w:rsidR="00000000" w:rsidRPr="00000000">
        <w:rPr>
          <w:color w:val="1f2328"/>
          <w:sz w:val="24"/>
          <w:szCs w:val="24"/>
          <w:rtl w:val="0"/>
        </w:rPr>
        <w:t xml:space="preserve">Review them every six to twelve months to identify steps that may need modification due to:</w:t>
      </w:r>
    </w:p>
    <w:p w:rsidR="00000000" w:rsidDel="00000000" w:rsidP="00000000" w:rsidRDefault="00000000" w:rsidRPr="00000000" w14:paraId="00000047">
      <w:pPr>
        <w:numPr>
          <w:ilvl w:val="0"/>
          <w:numId w:val="6"/>
        </w:numPr>
        <w:shd w:fill="ffffff" w:val="clear"/>
        <w:ind w:left="720" w:hanging="360"/>
        <w:rPr>
          <w:color w:val="1f2328"/>
          <w:sz w:val="24"/>
          <w:szCs w:val="24"/>
        </w:rPr>
      </w:pPr>
      <w:r w:rsidDel="00000000" w:rsidR="00000000" w:rsidRPr="00000000">
        <w:rPr>
          <w:color w:val="1f2328"/>
          <w:sz w:val="24"/>
          <w:szCs w:val="24"/>
          <w:rtl w:val="0"/>
        </w:rPr>
        <w:t xml:space="preserve">Changes in your environment </w:t>
      </w:r>
    </w:p>
    <w:p w:rsidR="00000000" w:rsidDel="00000000" w:rsidP="00000000" w:rsidRDefault="00000000" w:rsidRPr="00000000" w14:paraId="00000048">
      <w:pPr>
        <w:numPr>
          <w:ilvl w:val="0"/>
          <w:numId w:val="6"/>
        </w:numPr>
        <w:shd w:fill="ffffff" w:val="clear"/>
        <w:ind w:left="720" w:hanging="360"/>
        <w:rPr>
          <w:color w:val="1f2328"/>
          <w:sz w:val="24"/>
          <w:szCs w:val="24"/>
        </w:rPr>
      </w:pPr>
      <w:r w:rsidDel="00000000" w:rsidR="00000000" w:rsidRPr="00000000">
        <w:rPr>
          <w:color w:val="1f2328"/>
          <w:sz w:val="24"/>
          <w:szCs w:val="24"/>
          <w:rtl w:val="0"/>
        </w:rPr>
        <w:t xml:space="preserve">Additions to the system </w:t>
      </w:r>
    </w:p>
    <w:p w:rsidR="00000000" w:rsidDel="00000000" w:rsidP="00000000" w:rsidRDefault="00000000" w:rsidRPr="00000000" w14:paraId="00000049">
      <w:pPr>
        <w:numPr>
          <w:ilvl w:val="0"/>
          <w:numId w:val="6"/>
        </w:numPr>
        <w:shd w:fill="ffffff" w:val="clear"/>
        <w:ind w:left="720" w:hanging="360"/>
        <w:rPr>
          <w:color w:val="1f2328"/>
          <w:sz w:val="24"/>
          <w:szCs w:val="24"/>
        </w:rPr>
      </w:pPr>
      <w:r w:rsidDel="00000000" w:rsidR="00000000" w:rsidRPr="00000000">
        <w:rPr>
          <w:color w:val="1f2328"/>
          <w:sz w:val="24"/>
          <w:szCs w:val="24"/>
          <w:rtl w:val="0"/>
        </w:rPr>
        <w:t xml:space="preserve">New variables </w:t>
      </w:r>
    </w:p>
    <w:p w:rsidR="00000000" w:rsidDel="00000000" w:rsidP="00000000" w:rsidRDefault="00000000" w:rsidRPr="00000000" w14:paraId="0000004A">
      <w:pPr>
        <w:numPr>
          <w:ilvl w:val="0"/>
          <w:numId w:val="6"/>
        </w:numPr>
        <w:shd w:fill="ffffff" w:val="clear"/>
        <w:ind w:left="720" w:hanging="360"/>
        <w:rPr>
          <w:color w:val="1f2328"/>
          <w:sz w:val="24"/>
          <w:szCs w:val="24"/>
        </w:rPr>
      </w:pPr>
      <w:r w:rsidDel="00000000" w:rsidR="00000000" w:rsidRPr="00000000">
        <w:rPr>
          <w:color w:val="1f2328"/>
          <w:sz w:val="24"/>
          <w:szCs w:val="24"/>
          <w:rtl w:val="0"/>
        </w:rPr>
        <w:t xml:space="preserve">Team changes </w:t>
      </w:r>
    </w:p>
    <w:p w:rsidR="00000000" w:rsidDel="00000000" w:rsidP="00000000" w:rsidRDefault="00000000" w:rsidRPr="00000000" w14:paraId="0000004B">
      <w:pPr>
        <w:numPr>
          <w:ilvl w:val="0"/>
          <w:numId w:val="6"/>
        </w:numPr>
        <w:shd w:fill="ffffff" w:val="clear"/>
        <w:ind w:left="720" w:hanging="360"/>
        <w:rPr>
          <w:color w:val="1f2328"/>
          <w:sz w:val="24"/>
          <w:szCs w:val="24"/>
        </w:rPr>
      </w:pPr>
      <w:r w:rsidDel="00000000" w:rsidR="00000000" w:rsidRPr="00000000">
        <w:rPr>
          <w:color w:val="1f2328"/>
          <w:sz w:val="24"/>
          <w:szCs w:val="24"/>
          <w:rtl w:val="0"/>
        </w:rPr>
        <w:t xml:space="preserve">File storage modifications</w:t>
      </w:r>
    </w:p>
    <w:p w:rsidR="00000000" w:rsidDel="00000000" w:rsidP="00000000" w:rsidRDefault="00000000" w:rsidRPr="00000000" w14:paraId="0000004C">
      <w:pPr>
        <w:shd w:fill="ffffff" w:val="clear"/>
        <w:rPr>
          <w:color w:val="1f2328"/>
          <w:sz w:val="24"/>
          <w:szCs w:val="24"/>
        </w:rPr>
      </w:pPr>
      <w:r w:rsidDel="00000000" w:rsidR="00000000" w:rsidRPr="00000000">
        <w:rPr>
          <w:rtl w:val="0"/>
        </w:rPr>
      </w:r>
    </w:p>
    <w:p w:rsidR="00000000" w:rsidDel="00000000" w:rsidP="00000000" w:rsidRDefault="00000000" w:rsidRPr="00000000" w14:paraId="0000004D">
      <w:pPr>
        <w:shd w:fill="ffffff" w:val="clear"/>
        <w:rPr>
          <w:color w:val="1f2328"/>
          <w:sz w:val="24"/>
          <w:szCs w:val="24"/>
        </w:rPr>
      </w:pPr>
      <w:r w:rsidDel="00000000" w:rsidR="00000000" w:rsidRPr="00000000">
        <w:rPr>
          <w:b w:val="1"/>
          <w:color w:val="1f2328"/>
          <w:sz w:val="24"/>
          <w:szCs w:val="24"/>
          <w:rtl w:val="0"/>
        </w:rPr>
        <w:t xml:space="preserve">Contributing: </w:t>
      </w:r>
      <w:r w:rsidDel="00000000" w:rsidR="00000000" w:rsidRPr="00000000">
        <w:rPr>
          <w:color w:val="1f2328"/>
          <w:sz w:val="24"/>
          <w:szCs w:val="24"/>
          <w:rtl w:val="0"/>
        </w:rPr>
        <w:t xml:space="preserve">We welcome contributions to improve these templates. Please submit a pull request with your suggested changes. All offered under the GLP3.0 License  </w:t>
      </w:r>
    </w:p>
    <w:p w:rsidR="00000000" w:rsidDel="00000000" w:rsidP="00000000" w:rsidRDefault="00000000" w:rsidRPr="00000000" w14:paraId="0000004E">
      <w:pPr>
        <w:shd w:fill="ffffff" w:val="clear"/>
        <w:rPr>
          <w:color w:val="1f2328"/>
          <w:sz w:val="24"/>
          <w:szCs w:val="24"/>
        </w:rPr>
      </w:pPr>
      <w:r w:rsidDel="00000000" w:rsidR="00000000" w:rsidRPr="00000000">
        <w:rPr>
          <w:rtl w:val="0"/>
        </w:rPr>
      </w:r>
    </w:p>
    <w:p w:rsidR="00000000" w:rsidDel="00000000" w:rsidP="00000000" w:rsidRDefault="00000000" w:rsidRPr="00000000" w14:paraId="0000004F">
      <w:pPr>
        <w:shd w:fill="ffffff" w:val="clear"/>
        <w:rPr>
          <w:color w:val="1f2328"/>
          <w:sz w:val="24"/>
          <w:szCs w:val="24"/>
        </w:rPr>
      </w:pPr>
      <w:r w:rsidDel="00000000" w:rsidR="00000000" w:rsidRPr="00000000">
        <w:rPr>
          <w:b w:val="1"/>
          <w:color w:val="1f2328"/>
          <w:sz w:val="24"/>
          <w:szCs w:val="24"/>
          <w:rtl w:val="0"/>
        </w:rPr>
        <w:t xml:space="preserve">Contact </w:t>
      </w:r>
      <w:r w:rsidDel="00000000" w:rsidR="00000000" w:rsidRPr="00000000">
        <w:rPr>
          <w:color w:val="1f2328"/>
          <w:sz w:val="24"/>
          <w:szCs w:val="24"/>
          <w:rtl w:val="0"/>
        </w:rPr>
        <w:br w:type="textWrapping"/>
        <w:t xml:space="preserve">Support@w3cb.org </w:t>
        <w:br w:type="textWrapping"/>
        <w:t xml:space="preserve">Support@theblockchainacademy.com</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