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318"/>
        <w:gridCol w:w="7042"/>
      </w:tblGrid>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Test Case Name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GET  all the channels for a given peer</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Test Case Method</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peer chaincode invoke -C testchainid -n cscc -c '{"Args":["GetChannels"]}'</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Response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Array</w:t>
            </w:r>
          </w:p>
        </w:tc>
      </w:tr>
      <w:tr>
        <w:trPr>
          <w:trHeight w:val="408" w:hRule="auto"/>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Parameters</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No parameters</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Expected Response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Expected State</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Success</w:t>
            </w:r>
          </w:p>
        </w:tc>
      </w:tr>
      <w:tr>
        <w:trPr>
          <w:trHeight w:val="1" w:hRule="atLeast"/>
          <w:jc w:val="left"/>
        </w:trPr>
        <w:tc>
          <w:tcPr>
            <w:tcW w:w="2318"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u w:val="single"/>
                <w:shd w:fill="auto" w:val="clear"/>
              </w:rPr>
              <w:t xml:space="preserve">Description</w:t>
            </w:r>
          </w:p>
        </w:tc>
        <w:tc>
          <w:tcPr>
            <w:tcW w:w="7042" w:type="dxa"/>
            <w:tcBorders>
              <w:top w:val="single" w:color="8dc1d7" w:sz="4"/>
              <w:left w:val="single" w:color="8dc1d7" w:sz="4"/>
              <w:bottom w:val="single" w:color="8dc1d7" w:sz="4"/>
              <w:right w:val="single" w:color="8dc1d7"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8"/>
              </w:rPr>
            </w:pPr>
            <w:r>
              <w:rPr>
                <w:rFonts w:ascii="Calibri" w:hAnsi="Calibri" w:cs="Calibri" w:eastAsia="Calibri"/>
                <w:color w:val="auto"/>
                <w:spacing w:val="0"/>
                <w:position w:val="0"/>
                <w:sz w:val="28"/>
                <w:shd w:fill="auto" w:val="clear"/>
              </w:rPr>
              <w:t xml:space="preserve">Returns a list of Peer for the mspid of an organization as defined in the currently loaded network configuration. If no id is provided then the organization named in the currently active network configuration's client section will be used.</w:t>
            </w:r>
          </w:p>
        </w:tc>
      </w:tr>
    </w:tbl>
    <w:p>
      <w:pPr>
        <w:spacing w:before="0" w:after="160" w:line="259"/>
        <w:ind w:right="0" w:left="360" w:hanging="360"/>
        <w:jc w:val="left"/>
        <w:rPr>
          <w:rFonts w:ascii="Calibri" w:hAnsi="Calibri" w:cs="Calibri" w:eastAsia="Calibri"/>
          <w:color w:val="auto"/>
          <w:spacing w:val="0"/>
          <w:position w:val="0"/>
          <w:sz w:val="28"/>
          <w:u w:val="single"/>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