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2219D6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447911" w:history="1">
            <w:r w:rsidR="002219D6" w:rsidRPr="00332A98">
              <w:rPr>
                <w:rStyle w:val="Hyperlink"/>
                <w:b/>
                <w:noProof/>
              </w:rPr>
              <w:t>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Março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2" w:history="1">
            <w:r w:rsidR="002219D6" w:rsidRPr="00332A98">
              <w:rPr>
                <w:rStyle w:val="Hyperlink"/>
                <w:b/>
                <w:noProof/>
              </w:rPr>
              <w:t>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Abril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_Toc516447912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2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3" w:history="1">
            <w:r w:rsidR="002219D6" w:rsidRPr="00332A98">
              <w:rPr>
                <w:rStyle w:val="Hyperlink"/>
                <w:noProof/>
              </w:rPr>
              <w:t>Tabela 1 – Modelos de baterias preliminar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_Toc516447913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2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4" w:history="1">
            <w:r w:rsidR="002219D6" w:rsidRPr="00332A98">
              <w:rPr>
                <w:rStyle w:val="Hyperlink"/>
                <w:b/>
                <w:noProof/>
              </w:rPr>
              <w:t>3.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Maio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_Toc516447914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3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5" w:history="1">
            <w:r w:rsidR="002219D6" w:rsidRPr="00332A98">
              <w:rPr>
                <w:rStyle w:val="Hyperlink"/>
                <w:noProof/>
              </w:rPr>
              <w:t>Tabela 2 – Modelos de baterias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_Toc516447915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3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6" w:history="1">
            <w:r w:rsidR="002219D6" w:rsidRPr="00332A98">
              <w:rPr>
                <w:rStyle w:val="Hyperlink"/>
                <w:noProof/>
              </w:rPr>
              <w:t>Processo de escolha dos modelos das baterias preliminar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_Toc516447916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4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7" w:history="1">
            <w:r w:rsidR="002219D6" w:rsidRPr="00332A98">
              <w:rPr>
                <w:rStyle w:val="Hyperlink"/>
                <w:noProof/>
              </w:rPr>
              <w:t xml:space="preserve">Placa </w:t>
            </w:r>
            <w:r w:rsidR="002219D6" w:rsidRPr="00332A98">
              <w:rPr>
                <w:rStyle w:val="Hyperlink"/>
                <w:i/>
                <w:noProof/>
              </w:rPr>
              <w:t>shield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_Toc516447917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4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8" w:history="1">
            <w:r w:rsidR="002219D6" w:rsidRPr="00332A98">
              <w:rPr>
                <w:rStyle w:val="Hyperlink"/>
                <w:noProof/>
              </w:rPr>
              <w:t>Escolha da bateria ideal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_Toc516447918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5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9" w:history="1">
            <w:r w:rsidR="002219D6" w:rsidRPr="00332A98">
              <w:rPr>
                <w:rStyle w:val="Hyperlink"/>
                <w:noProof/>
              </w:rPr>
              <w:t>Consumo da placa ESP8266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_Toc516447919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5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0" w:history="1">
            <w:r w:rsidR="002219D6" w:rsidRPr="00332A98">
              <w:rPr>
                <w:rStyle w:val="Hyperlink"/>
                <w:noProof/>
              </w:rPr>
              <w:t>Notas: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_Toc516447920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9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1" w:history="1">
            <w:r w:rsidR="002219D6" w:rsidRPr="00332A98">
              <w:rPr>
                <w:rStyle w:val="Hyperlink"/>
                <w:noProof/>
              </w:rPr>
              <w:t>Equação da média ponderada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_Toc516447921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9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2" w:history="1">
            <w:r w:rsidR="002219D6" w:rsidRPr="00332A98">
              <w:rPr>
                <w:rStyle w:val="Hyperlink"/>
                <w:b/>
                <w:noProof/>
              </w:rPr>
              <w:t>4.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Junho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_Toc516447922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3" w:history="1">
            <w:r w:rsidR="002219D6" w:rsidRPr="00332A98">
              <w:rPr>
                <w:rStyle w:val="Hyperlink"/>
                <w:noProof/>
              </w:rPr>
              <w:t>Resultado final – Modelo de bateria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_Toc516447923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4" w:history="1">
            <w:r w:rsidR="002219D6" w:rsidRPr="00332A98">
              <w:rPr>
                <w:rStyle w:val="Hyperlink"/>
                <w:noProof/>
              </w:rPr>
              <w:t>Quadro técnico de placas e seus protocolos de comunicação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_Toc516447924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5" w:history="1">
            <w:r w:rsidR="002219D6" w:rsidRPr="00332A98">
              <w:rPr>
                <w:rStyle w:val="Hyperlink"/>
                <w:b/>
                <w:noProof/>
              </w:rPr>
              <w:t>5.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Julho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_Toc516447925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6" w:history="1">
            <w:r w:rsidR="002219D6" w:rsidRPr="00332A98">
              <w:rPr>
                <w:rStyle w:val="Hyperlink"/>
                <w:b/>
                <w:noProof/>
              </w:rPr>
              <w:t>6.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Agosto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_Toc516447926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7" w:history="1">
            <w:r w:rsidR="002219D6" w:rsidRPr="00332A98">
              <w:rPr>
                <w:rStyle w:val="Hyperlink"/>
                <w:b/>
                <w:noProof/>
              </w:rPr>
              <w:t>7.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Setembro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_Toc516447927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8" w:history="1">
            <w:r w:rsidR="002219D6" w:rsidRPr="00332A98">
              <w:rPr>
                <w:rStyle w:val="Hyperlink"/>
                <w:b/>
                <w:noProof/>
              </w:rPr>
              <w:t>8.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Outubro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_Toc516447928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9" w:history="1">
            <w:r w:rsidR="002219D6" w:rsidRPr="00332A98">
              <w:rPr>
                <w:rStyle w:val="Hyperlink"/>
                <w:b/>
                <w:noProof/>
              </w:rPr>
              <w:t>9.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Novembro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_Toc516447929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0" w:history="1">
            <w:r w:rsidR="002219D6" w:rsidRPr="00332A98">
              <w:rPr>
                <w:rStyle w:val="Hyperlink"/>
                <w:b/>
                <w:noProof/>
              </w:rPr>
              <w:t>10.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Dezembro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_Toc516447930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1" w:history="1">
            <w:r w:rsidR="002219D6" w:rsidRPr="00332A98">
              <w:rPr>
                <w:rStyle w:val="Hyperlink"/>
                <w:b/>
                <w:noProof/>
              </w:rPr>
              <w:t>11.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Janeiro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_Toc516447931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10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2" w:history="1">
            <w:r w:rsidR="002219D6" w:rsidRPr="00332A98">
              <w:rPr>
                <w:rStyle w:val="Hyperlink"/>
                <w:b/>
                <w:noProof/>
              </w:rPr>
              <w:t>12.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Fevereiro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_Toc516447932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11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2219D6" w:rsidRDefault="00953EC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3" w:history="1">
            <w:r w:rsidR="002219D6" w:rsidRPr="00332A98">
              <w:rPr>
                <w:rStyle w:val="Hyperlink"/>
                <w:b/>
                <w:noProof/>
              </w:rPr>
              <w:t>REFERÊNCIAS</w:t>
            </w:r>
            <w:r w:rsidR="002219D6">
              <w:rPr>
                <w:noProof/>
                <w:webHidden/>
              </w:rPr>
              <w:tab/>
            </w:r>
            <w:r w:rsidR="00732C65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_Toc516447933 \h </w:instrText>
            </w:r>
            <w:r w:rsidR="00732C65">
              <w:rPr>
                <w:noProof/>
                <w:webHidden/>
              </w:rPr>
            </w:r>
            <w:r w:rsidR="00732C65">
              <w:rPr>
                <w:noProof/>
                <w:webHidden/>
              </w:rPr>
              <w:fldChar w:fldCharType="separate"/>
            </w:r>
            <w:r w:rsidR="0073669A">
              <w:rPr>
                <w:noProof/>
                <w:webHidden/>
              </w:rPr>
              <w:t>11</w:t>
            </w:r>
            <w:r w:rsidR="00732C65"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732C65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44791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447912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44791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EB6886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53ECB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53ECB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53ECB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53ECB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53ECB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53ECB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53ECB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464F98">
        <w:tc>
          <w:tcPr>
            <w:tcW w:w="945" w:type="dxa"/>
            <w:vAlign w:val="center"/>
          </w:tcPr>
          <w:p w:rsidR="00EB6886" w:rsidRPr="00D95E73" w:rsidRDefault="00953ECB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53ECB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53ECB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53ECB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953ECB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44791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44791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953EC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953EC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953EC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953EC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53EC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53EC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53EC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53EC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53EC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53EC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53EC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53EC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953EC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53EC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53EC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53EC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53EC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53EC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53EC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953EC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44791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44791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44791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644791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C5404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AE2A55" w:rsidRPr="00AE2A55" w:rsidRDefault="00AE2A55" w:rsidP="00AE2A55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Pr="00161627">
        <w:t>WeMos D1 mini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 w:firstRow="1" w:lastRow="0" w:firstColumn="1" w:lastColumn="0" w:noHBand="0" w:noVBand="1"/>
      </w:tblPr>
      <w:tblGrid>
        <w:gridCol w:w="2458"/>
        <w:gridCol w:w="2461"/>
        <w:gridCol w:w="1012"/>
        <w:gridCol w:w="1591"/>
        <w:gridCol w:w="1454"/>
        <w:gridCol w:w="1304"/>
      </w:tblGrid>
      <w:tr w:rsidR="00B2357E" w:rsidRPr="00370723" w:rsidTr="00405090">
        <w:trPr>
          <w:trHeight w:val="397"/>
        </w:trPr>
        <w:tc>
          <w:tcPr>
            <w:tcW w:w="2393" w:type="pct"/>
            <w:gridSpan w:val="2"/>
            <w:vAlign w:val="center"/>
          </w:tcPr>
          <w:p w:rsidR="00B2357E" w:rsidRPr="00B11A52" w:rsidRDefault="00B2357E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:rsidR="00B2357E" w:rsidRPr="00B11A52" w:rsidRDefault="00B2357E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:rsidR="00B2357E" w:rsidRPr="00B11A52" w:rsidRDefault="00B2357E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7" w:type="pct"/>
            <w:vAlign w:val="center"/>
          </w:tcPr>
          <w:p w:rsidR="00B2357E" w:rsidRPr="00B11A52" w:rsidRDefault="00B2357E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4" w:type="pct"/>
            <w:vAlign w:val="center"/>
          </w:tcPr>
          <w:p w:rsidR="00B2357E" w:rsidRPr="00B11A52" w:rsidRDefault="00B2357E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:rsidTr="00405090">
        <w:trPr>
          <w:trHeight w:val="283"/>
        </w:trPr>
        <w:tc>
          <w:tcPr>
            <w:tcW w:w="2393" w:type="pct"/>
            <w:gridSpan w:val="2"/>
            <w:vMerge w:val="restart"/>
            <w:vAlign w:val="center"/>
          </w:tcPr>
          <w:p w:rsidR="007E0BF4" w:rsidRPr="00521522" w:rsidRDefault="007E0BF4" w:rsidP="00405090">
            <w:pPr>
              <w:jc w:val="center"/>
              <w:rPr>
                <w:sz w:val="20"/>
                <w:szCs w:val="20"/>
                <w:vertAlign w:val="superscript"/>
              </w:rPr>
            </w:pPr>
            <w:r w:rsidRPr="00B11A52">
              <w:rPr>
                <w:sz w:val="20"/>
                <w:szCs w:val="20"/>
              </w:rPr>
              <w:t>Standby</w:t>
            </w:r>
            <w:r w:rsidR="00521522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492" w:type="pct"/>
            <w:vAlign w:val="center"/>
          </w:tcPr>
          <w:p w:rsidR="007E0BF4" w:rsidRPr="00B11A52" w:rsidRDefault="007E0BF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CA1349" w:rsidRPr="00405090" w:rsidRDefault="005671FB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74.4</w:t>
            </w:r>
            <w:r w:rsidR="00405090" w:rsidRPr="00405090">
              <w:rPr>
                <w:sz w:val="18"/>
                <w:szCs w:val="16"/>
                <w:vertAlign w:val="superscript"/>
              </w:rPr>
              <w:t>(2)</w:t>
            </w:r>
          </w:p>
          <w:p w:rsidR="005671FB" w:rsidRPr="00405090" w:rsidRDefault="005671FB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74.5</w:t>
            </w:r>
            <w:r w:rsidR="00405090" w:rsidRPr="00405090">
              <w:rPr>
                <w:sz w:val="18"/>
                <w:szCs w:val="16"/>
                <w:vertAlign w:val="superscript"/>
              </w:rPr>
              <w:t>(3)</w:t>
            </w:r>
          </w:p>
          <w:p w:rsidR="005671FB" w:rsidRPr="00405090" w:rsidRDefault="005671FB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75.2</w:t>
            </w:r>
            <w:r w:rsidR="00405090" w:rsidRPr="00405090">
              <w:rPr>
                <w:sz w:val="18"/>
                <w:szCs w:val="16"/>
                <w:vertAlign w:val="superscript"/>
              </w:rPr>
              <w:t>(4)</w:t>
            </w:r>
          </w:p>
        </w:tc>
        <w:tc>
          <w:tcPr>
            <w:tcW w:w="707" w:type="pct"/>
            <w:vAlign w:val="center"/>
          </w:tcPr>
          <w:p w:rsidR="00CA1349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76.1</w:t>
            </w:r>
          </w:p>
          <w:p w:rsidR="005671FB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75.6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4" w:type="pct"/>
            <w:vAlign w:val="center"/>
          </w:tcPr>
          <w:p w:rsidR="007E0BF4" w:rsidRPr="00B11A52" w:rsidRDefault="00A4495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75,333</w:t>
            </w:r>
          </w:p>
        </w:tc>
      </w:tr>
      <w:tr w:rsidR="007E0BF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E0BF4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3B5DEC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</w:tc>
        <w:tc>
          <w:tcPr>
            <w:tcW w:w="707" w:type="pct"/>
            <w:vAlign w:val="center"/>
          </w:tcPr>
          <w:p w:rsidR="007E0BF4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</w:tc>
        <w:tc>
          <w:tcPr>
            <w:tcW w:w="634" w:type="pct"/>
            <w:vAlign w:val="center"/>
          </w:tcPr>
          <w:p w:rsidR="007E0BF4" w:rsidRPr="00B11A52" w:rsidRDefault="00A233B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75,583</w:t>
            </w:r>
          </w:p>
        </w:tc>
      </w:tr>
      <w:tr w:rsidR="007E0BF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E0BF4" w:rsidRDefault="00E22B62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3.3</w:t>
            </w:r>
          </w:p>
          <w:p w:rsidR="005671FB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73.2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73.6</w:t>
            </w:r>
          </w:p>
        </w:tc>
        <w:tc>
          <w:tcPr>
            <w:tcW w:w="707" w:type="pct"/>
            <w:vAlign w:val="center"/>
          </w:tcPr>
          <w:p w:rsidR="007E0BF4" w:rsidRDefault="00E22B62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4.8</w:t>
            </w:r>
          </w:p>
          <w:p w:rsidR="005671FB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74.2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634" w:type="pct"/>
            <w:vAlign w:val="center"/>
          </w:tcPr>
          <w:p w:rsidR="007E0BF4" w:rsidRPr="00B11A52" w:rsidRDefault="00A233B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74,050</w:t>
            </w: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  <w:r w:rsidR="00AE7BBA">
              <w:rPr>
                <w:sz w:val="20"/>
                <w:szCs w:val="20"/>
                <w:vertAlign w:val="superscript"/>
              </w:rPr>
              <w:t>(5</w:t>
            </w:r>
            <w:r w:rsidR="00021DC9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  <w:p w:rsidR="003B5DEC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5.3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7" w:type="pct"/>
            <w:vAlign w:val="center"/>
          </w:tcPr>
          <w:p w:rsidR="003B5DEC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5671FB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5671FB" w:rsidRPr="00B11A52" w:rsidRDefault="005671F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</w:tc>
        <w:tc>
          <w:tcPr>
            <w:tcW w:w="634" w:type="pct"/>
            <w:vAlign w:val="center"/>
          </w:tcPr>
          <w:p w:rsidR="00A92AC4" w:rsidRPr="00B11A52" w:rsidRDefault="00A233B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75,583</w:t>
            </w: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</w:t>
            </w:r>
            <w:r w:rsidR="00EA0661">
              <w:rPr>
                <w:sz w:val="16"/>
                <w:szCs w:val="16"/>
              </w:rPr>
              <w:t>4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7" w:type="pct"/>
            <w:vAlign w:val="center"/>
          </w:tcPr>
          <w:p w:rsidR="00A92AC4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EA0661">
              <w:rPr>
                <w:sz w:val="16"/>
                <w:szCs w:val="16"/>
              </w:rPr>
              <w:t>6.8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</w:tc>
        <w:tc>
          <w:tcPr>
            <w:tcW w:w="634" w:type="pct"/>
            <w:vAlign w:val="center"/>
          </w:tcPr>
          <w:p w:rsidR="00A92AC4" w:rsidRPr="00B11A52" w:rsidRDefault="00A233B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76,15</w:t>
            </w: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73.9</w:t>
            </w:r>
          </w:p>
        </w:tc>
        <w:tc>
          <w:tcPr>
            <w:tcW w:w="707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74.6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4" w:type="pct"/>
            <w:vAlign w:val="center"/>
          </w:tcPr>
          <w:p w:rsidR="00A92AC4" w:rsidRPr="00B11A52" w:rsidRDefault="00A233B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74,366</w:t>
            </w: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675DEB" w:rsidRDefault="00BF2DD7" w:rsidP="00405090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  <w:p w:rsidR="003B5DEC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78.3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7" w:type="pct"/>
            <w:vAlign w:val="center"/>
          </w:tcPr>
          <w:p w:rsidR="00126DA8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  <w:p w:rsidR="003B5DEC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4" w:type="pct"/>
            <w:vAlign w:val="center"/>
          </w:tcPr>
          <w:p w:rsidR="00126DA8" w:rsidRPr="00B11A52" w:rsidRDefault="00A233B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79,3</w:t>
            </w: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8.6</w:t>
            </w:r>
          </w:p>
          <w:p w:rsidR="005F4777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7" w:type="pct"/>
            <w:vAlign w:val="center"/>
          </w:tcPr>
          <w:p w:rsidR="00126DA8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  <w:p w:rsidR="005F4777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79.3</w:t>
            </w:r>
          </w:p>
          <w:p w:rsidR="005F4777" w:rsidRPr="00B11A52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4" w:type="pct"/>
            <w:vAlign w:val="center"/>
          </w:tcPr>
          <w:p w:rsidR="00126DA8" w:rsidRPr="00B11A52" w:rsidRDefault="00A233B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79,066</w:t>
            </w: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707" w:type="pct"/>
            <w:vAlign w:val="center"/>
          </w:tcPr>
          <w:p w:rsidR="00126DA8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78.9</w:t>
            </w:r>
          </w:p>
        </w:tc>
        <w:tc>
          <w:tcPr>
            <w:tcW w:w="634" w:type="pct"/>
            <w:vAlign w:val="center"/>
          </w:tcPr>
          <w:p w:rsidR="00126DA8" w:rsidRPr="00B11A52" w:rsidRDefault="00A233B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77,133</w:t>
            </w: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675DEB" w:rsidRDefault="00A92AC4" w:rsidP="00405090">
            <w:pPr>
              <w:jc w:val="center"/>
              <w:rPr>
                <w:sz w:val="20"/>
                <w:szCs w:val="20"/>
                <w:vertAlign w:val="superscript"/>
              </w:rPr>
            </w:pPr>
            <w:r w:rsidRPr="00B11A52">
              <w:rPr>
                <w:sz w:val="20"/>
                <w:szCs w:val="20"/>
              </w:rPr>
              <w:t>100% uso do CPU</w:t>
            </w:r>
            <w:r w:rsidR="00675DEB">
              <w:rPr>
                <w:sz w:val="20"/>
                <w:szCs w:val="20"/>
                <w:vertAlign w:val="superscript"/>
              </w:rPr>
              <w:t>(6)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  <w:r w:rsidR="003B5DEC">
              <w:rPr>
                <w:sz w:val="16"/>
                <w:szCs w:val="16"/>
              </w:rPr>
              <w:t>.6</w:t>
            </w:r>
          </w:p>
        </w:tc>
        <w:tc>
          <w:tcPr>
            <w:tcW w:w="707" w:type="pct"/>
            <w:vAlign w:val="center"/>
          </w:tcPr>
          <w:p w:rsidR="00A92AC4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3B5DEC" w:rsidRPr="00B11A52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4" w:type="pct"/>
            <w:vAlign w:val="center"/>
          </w:tcPr>
          <w:p w:rsidR="00A92AC4" w:rsidRPr="00B11A52" w:rsidRDefault="00A233B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</w:t>
            </w: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5.5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</w:tc>
        <w:tc>
          <w:tcPr>
            <w:tcW w:w="707" w:type="pct"/>
            <w:vAlign w:val="center"/>
          </w:tcPr>
          <w:p w:rsidR="00A92AC4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</w:t>
            </w:r>
          </w:p>
        </w:tc>
        <w:tc>
          <w:tcPr>
            <w:tcW w:w="634" w:type="pct"/>
            <w:vAlign w:val="center"/>
          </w:tcPr>
          <w:p w:rsidR="00A92AC4" w:rsidRPr="00B11A52" w:rsidRDefault="00A233B3" w:rsidP="00A233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76,233</w:t>
            </w: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</w:tc>
        <w:tc>
          <w:tcPr>
            <w:tcW w:w="707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4" w:type="pct"/>
            <w:vAlign w:val="center"/>
          </w:tcPr>
          <w:p w:rsidR="00A92AC4" w:rsidRPr="00B11A52" w:rsidRDefault="00CD282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75,166</w:t>
            </w: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  <w:p w:rsidR="00A17B48" w:rsidRDefault="00A17B4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  <w:p w:rsidR="003B5DEC" w:rsidRPr="00B11A52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</w:tc>
        <w:tc>
          <w:tcPr>
            <w:tcW w:w="707" w:type="pct"/>
            <w:vAlign w:val="center"/>
          </w:tcPr>
          <w:p w:rsidR="00A92AC4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  <w:p w:rsidR="00A17B48" w:rsidRDefault="00A17B4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77.7</w:t>
            </w:r>
          </w:p>
          <w:p w:rsidR="003B5DEC" w:rsidRPr="00B11A52" w:rsidRDefault="003B5DE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</w:tc>
        <w:tc>
          <w:tcPr>
            <w:tcW w:w="634" w:type="pct"/>
            <w:vAlign w:val="center"/>
          </w:tcPr>
          <w:p w:rsidR="00A92AC4" w:rsidRPr="00B11A52" w:rsidRDefault="00CD282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77,783</w:t>
            </w: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6.8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77.8</w:t>
            </w:r>
          </w:p>
        </w:tc>
        <w:tc>
          <w:tcPr>
            <w:tcW w:w="707" w:type="pct"/>
            <w:vAlign w:val="center"/>
          </w:tcPr>
          <w:p w:rsidR="00A92AC4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77.3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</w:tc>
        <w:tc>
          <w:tcPr>
            <w:tcW w:w="634" w:type="pct"/>
            <w:vAlign w:val="center"/>
          </w:tcPr>
          <w:p w:rsidR="00A92AC4" w:rsidRPr="00B11A52" w:rsidRDefault="00CD282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77,383</w:t>
            </w:r>
          </w:p>
        </w:tc>
      </w:tr>
      <w:tr w:rsidR="00A92AC4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75.4</w:t>
            </w:r>
          </w:p>
        </w:tc>
        <w:tc>
          <w:tcPr>
            <w:tcW w:w="707" w:type="pct"/>
            <w:vAlign w:val="center"/>
          </w:tcPr>
          <w:p w:rsidR="00A92AC4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77.1</w:t>
            </w:r>
          </w:p>
        </w:tc>
        <w:tc>
          <w:tcPr>
            <w:tcW w:w="634" w:type="pct"/>
            <w:vAlign w:val="center"/>
          </w:tcPr>
          <w:p w:rsidR="00A92AC4" w:rsidRPr="00B11A52" w:rsidRDefault="00CD282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75,55</w:t>
            </w: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 w:rsidR="00021DC9">
              <w:rPr>
                <w:sz w:val="20"/>
                <w:szCs w:val="20"/>
              </w:rPr>
              <w:t>+ 100% uso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  <w:p w:rsidR="00A17B48" w:rsidRDefault="00A17B4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  <w:p w:rsidR="003B5DEC" w:rsidRPr="00B11A52" w:rsidRDefault="00A17B4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79.8</w:t>
            </w:r>
          </w:p>
        </w:tc>
        <w:tc>
          <w:tcPr>
            <w:tcW w:w="707" w:type="pct"/>
            <w:vAlign w:val="center"/>
          </w:tcPr>
          <w:p w:rsidR="00126DA8" w:rsidRDefault="00BF2DD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  <w:r w:rsidR="00A17B48">
              <w:rPr>
                <w:sz w:val="16"/>
                <w:szCs w:val="16"/>
              </w:rPr>
              <w:br/>
              <w:t>81</w:t>
            </w:r>
            <w:r w:rsidR="003B5DEC">
              <w:rPr>
                <w:sz w:val="16"/>
                <w:szCs w:val="16"/>
              </w:rPr>
              <w:t>.4</w:t>
            </w:r>
          </w:p>
          <w:p w:rsidR="00A17B48" w:rsidRPr="00B11A52" w:rsidRDefault="00A17B4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81.2</w:t>
            </w:r>
          </w:p>
        </w:tc>
        <w:tc>
          <w:tcPr>
            <w:tcW w:w="634" w:type="pct"/>
            <w:vAlign w:val="center"/>
          </w:tcPr>
          <w:p w:rsidR="00126DA8" w:rsidRPr="00B11A52" w:rsidRDefault="00CD282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80,333</w:t>
            </w: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79.0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79.1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79.9</w:t>
            </w:r>
          </w:p>
        </w:tc>
        <w:tc>
          <w:tcPr>
            <w:tcW w:w="707" w:type="pct"/>
            <w:vAlign w:val="center"/>
          </w:tcPr>
          <w:p w:rsidR="00126DA8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  <w:p w:rsidR="00684833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</w:tc>
        <w:tc>
          <w:tcPr>
            <w:tcW w:w="634" w:type="pct"/>
            <w:vAlign w:val="center"/>
          </w:tcPr>
          <w:p w:rsidR="00126DA8" w:rsidRPr="00B11A52" w:rsidRDefault="00CD282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79,85</w:t>
            </w:r>
          </w:p>
        </w:tc>
      </w:tr>
      <w:tr w:rsidR="00126DA8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EA0661" w:rsidRDefault="00EA0661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6.4</w:t>
            </w:r>
          </w:p>
          <w:p w:rsidR="005F4777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5F4777" w:rsidRPr="00B11A52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</w:tc>
        <w:tc>
          <w:tcPr>
            <w:tcW w:w="707" w:type="pct"/>
            <w:vAlign w:val="center"/>
          </w:tcPr>
          <w:p w:rsidR="00126DA8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4" w:type="pct"/>
            <w:vAlign w:val="center"/>
          </w:tcPr>
          <w:p w:rsidR="00126DA8" w:rsidRPr="00B11A52" w:rsidRDefault="00CD282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77,55</w:t>
            </w:r>
          </w:p>
        </w:tc>
      </w:tr>
      <w:tr w:rsidR="00405090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405090" w:rsidRPr="00B436EF" w:rsidRDefault="00405090" w:rsidP="00405090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ESP em modo server e cliente ligado</w:t>
            </w:r>
          </w:p>
        </w:tc>
        <w:tc>
          <w:tcPr>
            <w:tcW w:w="492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</w:tc>
        <w:tc>
          <w:tcPr>
            <w:tcW w:w="707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4" w:type="pct"/>
            <w:vAlign w:val="center"/>
          </w:tcPr>
          <w:p w:rsidR="00405090" w:rsidRPr="00B11A52" w:rsidRDefault="00CD282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75,366</w:t>
            </w:r>
          </w:p>
        </w:tc>
      </w:tr>
      <w:tr w:rsidR="00405090" w:rsidRPr="00370723" w:rsidTr="00405090">
        <w:trPr>
          <w:trHeight w:val="157"/>
        </w:trPr>
        <w:tc>
          <w:tcPr>
            <w:tcW w:w="2393" w:type="pct"/>
            <w:gridSpan w:val="2"/>
            <w:vMerge/>
            <w:vAlign w:val="center"/>
          </w:tcPr>
          <w:p w:rsidR="00405090" w:rsidRPr="00B11A52" w:rsidRDefault="0040509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81" w:type="pct"/>
            <w:gridSpan w:val="2"/>
            <w:vMerge w:val="restart"/>
            <w:vAlign w:val="center"/>
          </w:tcPr>
          <w:p w:rsidR="00405090" w:rsidRPr="004C59F7" w:rsidRDefault="00953ECB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I</w:t>
            </w:r>
            <w:r w:rsidR="00405090">
              <w:rPr>
                <w:sz w:val="16"/>
                <w:szCs w:val="16"/>
              </w:rPr>
              <w:t>nstabilidade</w:t>
            </w:r>
            <w:r w:rsidR="004C59F7">
              <w:rPr>
                <w:sz w:val="16"/>
                <w:szCs w:val="16"/>
                <w:vertAlign w:val="superscript"/>
              </w:rPr>
              <w:t>(7)</w:t>
            </w:r>
          </w:p>
        </w:tc>
        <w:tc>
          <w:tcPr>
            <w:tcW w:w="634" w:type="pct"/>
            <w:vMerge w:val="restart"/>
            <w:vAlign w:val="center"/>
          </w:tcPr>
          <w:p w:rsidR="00405090" w:rsidRPr="00B11A52" w:rsidRDefault="00953EC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≈</w:t>
            </w:r>
            <w:r w:rsidR="00405090">
              <w:rPr>
                <w:sz w:val="16"/>
                <w:szCs w:val="16"/>
              </w:rPr>
              <w:t>75</w:t>
            </w:r>
          </w:p>
        </w:tc>
      </w:tr>
      <w:tr w:rsidR="00405090" w:rsidRPr="00370723" w:rsidTr="00405090">
        <w:trPr>
          <w:trHeight w:val="156"/>
        </w:trPr>
        <w:tc>
          <w:tcPr>
            <w:tcW w:w="2393" w:type="pct"/>
            <w:gridSpan w:val="2"/>
            <w:vMerge/>
            <w:vAlign w:val="center"/>
          </w:tcPr>
          <w:p w:rsidR="00405090" w:rsidRPr="00B11A52" w:rsidRDefault="0040509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405090" w:rsidRPr="00B11A52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1481" w:type="pct"/>
            <w:gridSpan w:val="2"/>
            <w:vMerge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4" w:type="pct"/>
            <w:vMerge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405090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405090" w:rsidRPr="00B11A52" w:rsidRDefault="00405090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only client</w:t>
            </w:r>
          </w:p>
        </w:tc>
        <w:tc>
          <w:tcPr>
            <w:tcW w:w="492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</w:tc>
        <w:tc>
          <w:tcPr>
            <w:tcW w:w="707" w:type="pct"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72.6</w:t>
            </w:r>
          </w:p>
        </w:tc>
        <w:tc>
          <w:tcPr>
            <w:tcW w:w="634" w:type="pct"/>
            <w:vAlign w:val="center"/>
          </w:tcPr>
          <w:p w:rsidR="00405090" w:rsidRPr="00B11A52" w:rsidRDefault="00CD282C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71,983</w:t>
            </w:r>
            <w:bookmarkStart w:id="28" w:name="_GoBack"/>
            <w:bookmarkEnd w:id="28"/>
          </w:p>
        </w:tc>
      </w:tr>
      <w:tr w:rsidR="00405090" w:rsidRPr="00370723" w:rsidTr="00405090">
        <w:trPr>
          <w:trHeight w:val="157"/>
        </w:trPr>
        <w:tc>
          <w:tcPr>
            <w:tcW w:w="2393" w:type="pct"/>
            <w:gridSpan w:val="2"/>
            <w:vMerge/>
            <w:vAlign w:val="center"/>
          </w:tcPr>
          <w:p w:rsidR="00405090" w:rsidRPr="00B11A52" w:rsidRDefault="0040509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405090" w:rsidRPr="00B11A52" w:rsidRDefault="0040509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81" w:type="pct"/>
            <w:gridSpan w:val="2"/>
            <w:vMerge w:val="restart"/>
            <w:vAlign w:val="center"/>
          </w:tcPr>
          <w:p w:rsidR="00405090" w:rsidRPr="00B11A52" w:rsidRDefault="00953EC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405090">
              <w:rPr>
                <w:sz w:val="16"/>
                <w:szCs w:val="16"/>
              </w:rPr>
              <w:t>nstabilidade</w:t>
            </w:r>
          </w:p>
        </w:tc>
        <w:tc>
          <w:tcPr>
            <w:tcW w:w="634" w:type="pct"/>
            <w:vMerge w:val="restart"/>
            <w:vAlign w:val="center"/>
          </w:tcPr>
          <w:p w:rsidR="00405090" w:rsidRPr="00B11A52" w:rsidRDefault="00953ECB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≈</w:t>
            </w:r>
            <w:r w:rsidR="00405090">
              <w:rPr>
                <w:sz w:val="16"/>
                <w:szCs w:val="16"/>
              </w:rPr>
              <w:t>70</w:t>
            </w:r>
          </w:p>
        </w:tc>
      </w:tr>
      <w:tr w:rsidR="00405090" w:rsidRPr="00370723" w:rsidTr="00405090">
        <w:trPr>
          <w:trHeight w:val="156"/>
        </w:trPr>
        <w:tc>
          <w:tcPr>
            <w:tcW w:w="2393" w:type="pct"/>
            <w:gridSpan w:val="2"/>
            <w:vMerge/>
            <w:vAlign w:val="center"/>
          </w:tcPr>
          <w:p w:rsidR="00405090" w:rsidRPr="00B11A52" w:rsidRDefault="0040509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405090" w:rsidRPr="00B11A52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1481" w:type="pct"/>
            <w:gridSpan w:val="2"/>
            <w:vMerge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4" w:type="pct"/>
            <w:vMerge/>
            <w:vAlign w:val="center"/>
          </w:tcPr>
          <w:p w:rsidR="00405090" w:rsidRDefault="0040509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Modem Sleep</w:t>
            </w: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</w:t>
            </w:r>
            <w:r w:rsidR="000A1E8D">
              <w:rPr>
                <w:sz w:val="16"/>
                <w:szCs w:val="16"/>
              </w:rPr>
              <w:t>9</w:t>
            </w:r>
          </w:p>
          <w:p w:rsidR="000A1E8D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0A1E8D" w:rsidRPr="00B11A52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707" w:type="pct"/>
            <w:vAlign w:val="center"/>
          </w:tcPr>
          <w:p w:rsidR="000A1E8D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0A1E8D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0A1E8D" w:rsidRPr="00B11A52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72.2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70.8</w:t>
            </w:r>
          </w:p>
          <w:p w:rsidR="00283257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283257" w:rsidRPr="00B11A52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</w:tc>
        <w:tc>
          <w:tcPr>
            <w:tcW w:w="707" w:type="pct"/>
            <w:vAlign w:val="center"/>
          </w:tcPr>
          <w:p w:rsidR="007B32B0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283257" w:rsidRPr="00B11A52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B32B0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283257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72.3</w:t>
            </w:r>
          </w:p>
        </w:tc>
        <w:tc>
          <w:tcPr>
            <w:tcW w:w="707" w:type="pct"/>
            <w:vAlign w:val="center"/>
          </w:tcPr>
          <w:p w:rsidR="007B32B0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  <w:p w:rsidR="00283257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Pr="00B11A52" w:rsidRDefault="0028325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72.6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ativa</w:t>
            </w: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16,2</w:t>
            </w:r>
          </w:p>
          <w:p w:rsidR="000A1E8D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</w:t>
            </w:r>
          </w:p>
          <w:p w:rsidR="000A1E8D" w:rsidRPr="00B11A52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707" w:type="pct"/>
            <w:vAlign w:val="center"/>
          </w:tcPr>
          <w:p w:rsidR="007B32B0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  <w:p w:rsidR="000A1E8D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</w:t>
            </w:r>
          </w:p>
          <w:p w:rsidR="000A1E8D" w:rsidRPr="00B11A52" w:rsidRDefault="000A1E8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E61ED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</w:t>
            </w:r>
          </w:p>
          <w:p w:rsidR="00E61EDD" w:rsidRDefault="00E61ED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</w:t>
            </w:r>
          </w:p>
          <w:p w:rsidR="00E61EDD" w:rsidRPr="00B11A52" w:rsidRDefault="00E61ED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3</w:t>
            </w:r>
          </w:p>
        </w:tc>
        <w:tc>
          <w:tcPr>
            <w:tcW w:w="707" w:type="pct"/>
            <w:vAlign w:val="center"/>
          </w:tcPr>
          <w:p w:rsidR="00E61EDD" w:rsidRDefault="00E61ED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  <w:p w:rsidR="00E61EDD" w:rsidRDefault="00E61ED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2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B32B0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</w:tc>
        <w:tc>
          <w:tcPr>
            <w:tcW w:w="707" w:type="pct"/>
            <w:vAlign w:val="center"/>
          </w:tcPr>
          <w:p w:rsidR="007B32B0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desativada</w:t>
            </w: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</w:t>
            </w:r>
            <w:r w:rsidR="00B04C9D">
              <w:rPr>
                <w:sz w:val="16"/>
                <w:szCs w:val="16"/>
              </w:rPr>
              <w:t>3</w:t>
            </w:r>
          </w:p>
          <w:p w:rsidR="00B04C9D" w:rsidRDefault="00B04C9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B04C9D" w:rsidRPr="00B11A52" w:rsidRDefault="00B04C9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707" w:type="pct"/>
            <w:vAlign w:val="center"/>
          </w:tcPr>
          <w:p w:rsidR="007B32B0" w:rsidRDefault="00B04C9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  <w:p w:rsidR="00B04C9D" w:rsidRDefault="00B04C9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  <w:p w:rsidR="00B04C9D" w:rsidRPr="00B11A52" w:rsidRDefault="00B04C9D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707" w:type="pct"/>
            <w:vAlign w:val="center"/>
          </w:tcPr>
          <w:p w:rsidR="007B32B0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AE7BBA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B32B0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  <w:p w:rsidR="004E2107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707" w:type="pct"/>
            <w:vAlign w:val="center"/>
          </w:tcPr>
          <w:p w:rsidR="007B32B0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  <w:p w:rsidR="004E2107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634" w:type="pct"/>
            <w:vAlign w:val="center"/>
          </w:tcPr>
          <w:p w:rsidR="007B32B0" w:rsidRPr="00B11A52" w:rsidRDefault="007B32B0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405090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651616" w:rsidRPr="00B11A52" w:rsidRDefault="00651616" w:rsidP="00405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 Sleep</w:t>
            </w:r>
          </w:p>
        </w:tc>
        <w:tc>
          <w:tcPr>
            <w:tcW w:w="492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07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34" w:type="pct"/>
            <w:vAlign w:val="center"/>
          </w:tcPr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7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634" w:type="pct"/>
            <w:vAlign w:val="center"/>
          </w:tcPr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Pr="004C59F7" w:rsidRDefault="004C59F7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7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4" w:type="pct"/>
            <w:vAlign w:val="center"/>
          </w:tcPr>
          <w:p w:rsidR="00651616" w:rsidRPr="004C59F7" w:rsidRDefault="00BC1D24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≈</w:t>
            </w:r>
            <w:r w:rsidR="004C59F7">
              <w:rPr>
                <w:sz w:val="16"/>
                <w:szCs w:val="16"/>
              </w:rPr>
              <w:t>0.0116</w:t>
            </w:r>
            <w:r w:rsidR="004C59F7">
              <w:rPr>
                <w:sz w:val="16"/>
                <w:szCs w:val="16"/>
                <w:vertAlign w:val="superscript"/>
              </w:rPr>
              <w:t>(8)</w:t>
            </w:r>
          </w:p>
        </w:tc>
      </w:tr>
      <w:tr w:rsidR="00651616" w:rsidRPr="00370723" w:rsidTr="00405090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774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707" w:type="pct"/>
            <w:vAlign w:val="center"/>
          </w:tcPr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4" w:type="pct"/>
            <w:vAlign w:val="center"/>
          </w:tcPr>
          <w:p w:rsidR="00651616" w:rsidRPr="004C59F7" w:rsidRDefault="00BC1D24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≈</w:t>
            </w:r>
            <w:r w:rsidR="004C59F7">
              <w:rPr>
                <w:sz w:val="16"/>
                <w:szCs w:val="16"/>
              </w:rPr>
              <w:t>0,0066</w:t>
            </w: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</w:t>
            </w:r>
          </w:p>
          <w:p w:rsidR="00B861DB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B861DB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1Mbps</w:t>
            </w:r>
          </w:p>
          <w:p w:rsidR="00B861DB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</w:t>
            </w:r>
          </w:p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11Mbps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A41F45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74.6</w:t>
            </w:r>
          </w:p>
          <w:p w:rsidR="00A41F45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A41F45" w:rsidRPr="00B11A52" w:rsidRDefault="00200FAE" w:rsidP="00200F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</w:tc>
        <w:tc>
          <w:tcPr>
            <w:tcW w:w="707" w:type="pct"/>
            <w:vAlign w:val="center"/>
          </w:tcPr>
          <w:p w:rsidR="00A41F45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A41F45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A41F45" w:rsidRPr="00B11A52" w:rsidRDefault="00A41F4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953EC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1" w:type="pct"/>
            <w:gridSpan w:val="2"/>
            <w:vMerge w:val="restart"/>
            <w:vAlign w:val="center"/>
          </w:tcPr>
          <w:p w:rsidR="00953ECB" w:rsidRPr="00BC1D24" w:rsidRDefault="00953ECB" w:rsidP="00405090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  <w:r w:rsidR="00BC1D24">
              <w:rPr>
                <w:sz w:val="16"/>
                <w:szCs w:val="16"/>
                <w:vertAlign w:val="superscript"/>
                <w:lang w:val="en-US"/>
              </w:rPr>
              <w:t>(9)</w:t>
            </w:r>
          </w:p>
        </w:tc>
        <w:tc>
          <w:tcPr>
            <w:tcW w:w="634" w:type="pct"/>
            <w:vMerge w:val="restart"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953EC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1481" w:type="pct"/>
            <w:gridSpan w:val="2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4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542B35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76.2</w:t>
            </w:r>
          </w:p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707" w:type="pct"/>
            <w:vAlign w:val="center"/>
          </w:tcPr>
          <w:p w:rsidR="00B861DB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76.0</w:t>
            </w:r>
          </w:p>
          <w:p w:rsidR="00542B35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78.9</w:t>
            </w:r>
          </w:p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77.3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953EC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1" w:type="pct"/>
            <w:gridSpan w:val="2"/>
            <w:vMerge w:val="restart"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4" w:type="pct"/>
            <w:vMerge w:val="restart"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953EC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1481" w:type="pct"/>
            <w:gridSpan w:val="2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4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75.6</w:t>
            </w:r>
          </w:p>
        </w:tc>
        <w:tc>
          <w:tcPr>
            <w:tcW w:w="707" w:type="pct"/>
            <w:vAlign w:val="center"/>
          </w:tcPr>
          <w:p w:rsidR="00B861DB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542B35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542B35" w:rsidRPr="00B11A52" w:rsidRDefault="00542B3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7.61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76.6</w:t>
            </w:r>
          </w:p>
          <w:p w:rsidR="00E57095" w:rsidRPr="00B11A52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</w:tc>
        <w:tc>
          <w:tcPr>
            <w:tcW w:w="707" w:type="pct"/>
            <w:vAlign w:val="center"/>
          </w:tcPr>
          <w:p w:rsidR="00B861DB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77.7</w:t>
            </w:r>
          </w:p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77.0</w:t>
            </w:r>
          </w:p>
          <w:p w:rsidR="00E57095" w:rsidRPr="00B11A52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78.3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57095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E57095" w:rsidRPr="00B11A52" w:rsidRDefault="00E5709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E57095" w:rsidRPr="00B11A52" w:rsidRDefault="00E57095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E57095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1481" w:type="pct"/>
            <w:gridSpan w:val="2"/>
            <w:vAlign w:val="center"/>
          </w:tcPr>
          <w:p w:rsidR="00E57095" w:rsidRPr="00B11A52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4" w:type="pct"/>
            <w:vAlign w:val="center"/>
          </w:tcPr>
          <w:p w:rsidR="00E57095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74.3</w:t>
            </w:r>
          </w:p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74.4</w:t>
            </w:r>
          </w:p>
          <w:p w:rsidR="00E57095" w:rsidRPr="00B11A52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</w:tc>
        <w:tc>
          <w:tcPr>
            <w:tcW w:w="707" w:type="pct"/>
            <w:vAlign w:val="center"/>
          </w:tcPr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E57095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B861DB" w:rsidRPr="00B11A52" w:rsidRDefault="00E57095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33EC0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133EC0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75.4</w:t>
            </w:r>
          </w:p>
          <w:p w:rsidR="00133EC0" w:rsidRPr="00B11A52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</w:tc>
        <w:tc>
          <w:tcPr>
            <w:tcW w:w="707" w:type="pct"/>
            <w:vAlign w:val="center"/>
          </w:tcPr>
          <w:p w:rsidR="00133EC0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  <w:p w:rsidR="00133EC0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  <w:p w:rsidR="00133EC0" w:rsidRPr="00B11A52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78.4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33EC0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133EC0" w:rsidRPr="00B11A52" w:rsidRDefault="00133EC0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133EC0" w:rsidRPr="00B11A52" w:rsidRDefault="00133EC0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33EC0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1481" w:type="pct"/>
            <w:gridSpan w:val="2"/>
            <w:vAlign w:val="center"/>
          </w:tcPr>
          <w:p w:rsidR="00133EC0" w:rsidRPr="00B11A52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4" w:type="pct"/>
            <w:vAlign w:val="center"/>
          </w:tcPr>
          <w:p w:rsidR="00133EC0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Pr="00BF2DD7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 802.11g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OFDM 54Mbps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133EC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73.5</w:t>
            </w:r>
          </w:p>
          <w:p w:rsidR="00681B7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73.3</w:t>
            </w:r>
          </w:p>
          <w:p w:rsidR="00681B72" w:rsidRPr="00B11A5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73.8</w:t>
            </w:r>
          </w:p>
        </w:tc>
        <w:tc>
          <w:tcPr>
            <w:tcW w:w="707" w:type="pct"/>
            <w:vAlign w:val="center"/>
          </w:tcPr>
          <w:p w:rsidR="00B861DB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74.2</w:t>
            </w:r>
          </w:p>
          <w:p w:rsidR="00681B7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681B72" w:rsidRPr="00B11A52" w:rsidRDefault="00681B72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74.5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953EC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1" w:type="pct"/>
            <w:gridSpan w:val="2"/>
            <w:vMerge w:val="restart"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4" w:type="pct"/>
            <w:vMerge w:val="restart"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953EC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1481" w:type="pct"/>
            <w:gridSpan w:val="2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4" w:type="pct"/>
            <w:vMerge/>
            <w:vAlign w:val="center"/>
          </w:tcPr>
          <w:p w:rsidR="00953ECB" w:rsidRPr="00B11A52" w:rsidRDefault="00953EC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F2DD7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707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72.3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7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774" w:type="pct"/>
            <w:vAlign w:val="center"/>
          </w:tcPr>
          <w:p w:rsidR="00B861DB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707" w:type="pct"/>
            <w:vAlign w:val="center"/>
          </w:tcPr>
          <w:p w:rsidR="00B861DB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07" w:type="pct"/>
            <w:vAlign w:val="center"/>
          </w:tcPr>
          <w:p w:rsidR="00B861DB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662BAF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662BAF" w:rsidRPr="00B11A52" w:rsidRDefault="00662BAF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7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021DC9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774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7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73.1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</w:tc>
        <w:tc>
          <w:tcPr>
            <w:tcW w:w="707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7" w:type="pct"/>
            <w:vAlign w:val="center"/>
          </w:tcPr>
          <w:p w:rsidR="00B861DB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247D30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247D30" w:rsidRPr="00B11A52" w:rsidRDefault="00247D30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4" w:type="pct"/>
            <w:vAlign w:val="center"/>
          </w:tcPr>
          <w:p w:rsidR="00B861DB" w:rsidRPr="00B11A52" w:rsidRDefault="00B861DB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00FAE" w:rsidRPr="00E84B13" w:rsidTr="00200FAE">
        <w:trPr>
          <w:trHeight w:val="170"/>
        </w:trPr>
        <w:tc>
          <w:tcPr>
            <w:tcW w:w="1196" w:type="pct"/>
            <w:vMerge/>
            <w:vAlign w:val="center"/>
          </w:tcPr>
          <w:p w:rsidR="00200FAE" w:rsidRPr="00B11A52" w:rsidRDefault="00200FAE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200FAE" w:rsidRPr="00B11A52" w:rsidRDefault="00200FAE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200FAE" w:rsidRPr="00B11A52" w:rsidRDefault="00200FA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2115" w:type="pct"/>
            <w:gridSpan w:val="3"/>
            <w:vAlign w:val="center"/>
          </w:tcPr>
          <w:p w:rsidR="00200FAE" w:rsidRPr="00200FAE" w:rsidRDefault="00200FAE" w:rsidP="00A06B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Instabilidade</w:t>
            </w:r>
            <w:r>
              <w:rPr>
                <w:sz w:val="16"/>
                <w:szCs w:val="16"/>
              </w:rPr>
              <w:t xml:space="preserve">  - discrepâncias nas medições</w:t>
            </w: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 w:val="restart"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Transmit 802.11n</w:t>
            </w:r>
            <w:r>
              <w:rPr>
                <w:sz w:val="20"/>
                <w:szCs w:val="20"/>
                <w:lang w:val="en-US"/>
              </w:rPr>
              <w:br/>
            </w:r>
            <w:r w:rsidRPr="00D706A9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 MCS 7</w:t>
            </w: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FE147E" w:rsidRP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7" w:type="pct"/>
            <w:vAlign w:val="center"/>
          </w:tcPr>
          <w:p w:rsid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P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FE147E" w:rsidRP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7" w:type="pct"/>
            <w:vAlign w:val="center"/>
          </w:tcPr>
          <w:p w:rsid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FE147E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FE147E" w:rsidRP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00FAE" w:rsidRPr="00D706A9" w:rsidTr="00200FAE">
        <w:trPr>
          <w:trHeight w:val="170"/>
        </w:trPr>
        <w:tc>
          <w:tcPr>
            <w:tcW w:w="1196" w:type="pct"/>
            <w:vMerge/>
            <w:vAlign w:val="center"/>
          </w:tcPr>
          <w:p w:rsidR="00200FAE" w:rsidRPr="00D706A9" w:rsidRDefault="00200FAE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200FAE" w:rsidRPr="00D706A9" w:rsidRDefault="00200FAE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200FAE" w:rsidRPr="00D706A9" w:rsidRDefault="00200FA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</w:p>
        </w:tc>
        <w:tc>
          <w:tcPr>
            <w:tcW w:w="2115" w:type="pct"/>
            <w:gridSpan w:val="3"/>
            <w:vAlign w:val="center"/>
          </w:tcPr>
          <w:p w:rsidR="00200FAE" w:rsidRPr="00D706A9" w:rsidRDefault="00200FAE" w:rsidP="00200F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Muita i</w:t>
            </w:r>
            <w:r>
              <w:rPr>
                <w:sz w:val="16"/>
                <w:szCs w:val="16"/>
              </w:rPr>
              <w:t>nstabilidade</w:t>
            </w: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70.1</w:t>
            </w:r>
          </w:p>
          <w:p w:rsidR="00FE147E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FE147E" w:rsidRPr="00D706A9" w:rsidRDefault="00FE147E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7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7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A06B7E" w:rsidRDefault="00021DC9" w:rsidP="00405090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3,4</w:t>
            </w:r>
            <w:r w:rsidR="00A06B7E">
              <w:rPr>
                <w:sz w:val="16"/>
                <w:szCs w:val="16"/>
                <w:vertAlign w:val="superscript"/>
                <w:lang w:val="en-US"/>
              </w:rPr>
              <w:t>(10)</w:t>
            </w:r>
          </w:p>
        </w:tc>
        <w:tc>
          <w:tcPr>
            <w:tcW w:w="774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707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4" w:type="pct"/>
            <w:vAlign w:val="center"/>
          </w:tcPr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7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7" w:type="pct"/>
            <w:vAlign w:val="center"/>
          </w:tcPr>
          <w:p w:rsid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A26658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4050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4" w:type="pct"/>
            <w:vAlign w:val="center"/>
          </w:tcPr>
          <w:p w:rsidR="00D706A9" w:rsidRPr="00D706A9" w:rsidRDefault="00D706A9" w:rsidP="0040509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37072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40509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A435CC" w:rsidRDefault="00D706A9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 w:rsidRPr="00D706A9">
              <w:rPr>
                <w:sz w:val="16"/>
                <w:szCs w:val="16"/>
                <w:lang w:val="en-US"/>
              </w:rPr>
              <w:t>3,</w:t>
            </w:r>
            <w:r w:rsidR="00021DC9">
              <w:rPr>
                <w:sz w:val="16"/>
                <w:szCs w:val="16"/>
              </w:rPr>
              <w:t>4</w:t>
            </w:r>
            <w:r w:rsidR="00A435CC">
              <w:rPr>
                <w:sz w:val="16"/>
                <w:szCs w:val="16"/>
                <w:vertAlign w:val="superscript"/>
              </w:rPr>
              <w:t>(*10)</w:t>
            </w:r>
          </w:p>
        </w:tc>
        <w:tc>
          <w:tcPr>
            <w:tcW w:w="774" w:type="pct"/>
            <w:vAlign w:val="center"/>
          </w:tcPr>
          <w:p w:rsidR="00D706A9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</w:tc>
        <w:tc>
          <w:tcPr>
            <w:tcW w:w="707" w:type="pct"/>
            <w:vAlign w:val="center"/>
          </w:tcPr>
          <w:p w:rsidR="00D706A9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</w:tc>
        <w:tc>
          <w:tcPr>
            <w:tcW w:w="634" w:type="pct"/>
            <w:vAlign w:val="center"/>
          </w:tcPr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B11A52" w:rsidRDefault="00D706A9" w:rsidP="0040509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  <w:lang w:val="en-US"/>
              </w:rPr>
              <w:t>POUT =</w:t>
            </w:r>
            <w:r w:rsidR="00200FAE">
              <w:rPr>
                <w:sz w:val="20"/>
                <w:szCs w:val="20"/>
                <w:lang w:val="en-US"/>
              </w:rPr>
              <w:t xml:space="preserve"> </w:t>
            </w:r>
            <w:r w:rsidRPr="00B11A52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B11A52" w:rsidRDefault="00D706A9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71.6</w:t>
            </w:r>
          </w:p>
        </w:tc>
        <w:tc>
          <w:tcPr>
            <w:tcW w:w="707" w:type="pct"/>
            <w:vAlign w:val="center"/>
          </w:tcPr>
          <w:p w:rsidR="00D706A9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71.3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71.2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4" w:type="pct"/>
            <w:vAlign w:val="center"/>
          </w:tcPr>
          <w:p w:rsidR="00D706A9" w:rsidRPr="00B11A52" w:rsidRDefault="00D706A9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405090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40509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70.6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</w:tc>
        <w:tc>
          <w:tcPr>
            <w:tcW w:w="707" w:type="pct"/>
            <w:vAlign w:val="center"/>
          </w:tcPr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AE2A55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Pr="00B11A52" w:rsidRDefault="00AE2A55" w:rsidP="004050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4" w:type="pct"/>
            <w:vAlign w:val="center"/>
          </w:tcPr>
          <w:p w:rsidR="00D706A9" w:rsidRPr="00B11A52" w:rsidRDefault="00D706A9" w:rsidP="00405090">
            <w:pPr>
              <w:jc w:val="center"/>
              <w:rPr>
                <w:sz w:val="16"/>
                <w:szCs w:val="16"/>
              </w:rPr>
            </w:pPr>
          </w:p>
        </w:tc>
      </w:tr>
      <w:tr w:rsidR="00200FAE" w:rsidRPr="00370723" w:rsidTr="00200FAE">
        <w:trPr>
          <w:trHeight w:val="170"/>
        </w:trPr>
        <w:tc>
          <w:tcPr>
            <w:tcW w:w="1196" w:type="pct"/>
            <w:vMerge/>
            <w:vAlign w:val="center"/>
          </w:tcPr>
          <w:p w:rsidR="00200FAE" w:rsidRPr="00B11A52" w:rsidRDefault="00200FAE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200FAE" w:rsidRPr="00B11A52" w:rsidRDefault="00200FAE" w:rsidP="00405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200FAE" w:rsidRPr="00A435CC" w:rsidRDefault="00200FAE" w:rsidP="00405090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3,4</w:t>
            </w:r>
            <w:r w:rsidR="00A435CC">
              <w:rPr>
                <w:sz w:val="16"/>
                <w:szCs w:val="16"/>
                <w:vertAlign w:val="superscript"/>
              </w:rPr>
              <w:t>(11)</w:t>
            </w:r>
          </w:p>
        </w:tc>
        <w:tc>
          <w:tcPr>
            <w:tcW w:w="2115" w:type="pct"/>
            <w:gridSpan w:val="3"/>
            <w:vAlign w:val="center"/>
          </w:tcPr>
          <w:p w:rsidR="00200FAE" w:rsidRPr="00B11A52" w:rsidRDefault="00200FAE" w:rsidP="00A435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Muita instabilidade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RPr="00021DC9" w:rsidTr="00021DC9">
        <w:trPr>
          <w:trHeight w:val="3141"/>
        </w:trPr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021DC9" w:rsidRDefault="00521522" w:rsidP="00521522">
            <w:pPr>
              <w:pStyle w:val="Ttulo3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021D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bookmarkStart w:id="29" w:name="_Toc516447920"/>
            <w:r w:rsidRPr="00021DC9">
              <w:rPr>
                <w:rFonts w:ascii="Times New Roman" w:hAnsi="Times New Roman" w:cs="Times New Roman"/>
                <w:sz w:val="22"/>
                <w:szCs w:val="22"/>
              </w:rPr>
              <w:t>Notas:</w:t>
            </w:r>
            <w:bookmarkEnd w:id="29"/>
          </w:p>
          <w:p w:rsidR="00521522" w:rsidRPr="00021DC9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021DC9">
              <w:rPr>
                <w:rStyle w:val="Refdenotaderodap"/>
                <w:sz w:val="22"/>
                <w:szCs w:val="22"/>
              </w:rPr>
              <w:footnoteReference w:id="3"/>
            </w:r>
            <w:r w:rsidRPr="00021DC9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021DC9">
              <w:rPr>
                <w:rStyle w:val="Refdenotaderodap"/>
                <w:sz w:val="22"/>
                <w:szCs w:val="22"/>
              </w:rPr>
              <w:footnoteReference w:id="4"/>
            </w:r>
            <w:r w:rsidRPr="00021DC9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 w:rsidRPr="00021DC9">
              <w:rPr>
                <w:sz w:val="22"/>
                <w:szCs w:val="22"/>
              </w:rPr>
              <w:t xml:space="preserve"> e os modos de baixo consumo elétrico</w:t>
            </w:r>
            <w:r w:rsidRPr="00021DC9">
              <w:rPr>
                <w:sz w:val="22"/>
                <w:szCs w:val="22"/>
              </w:rPr>
              <w:t>.</w:t>
            </w:r>
            <w:r w:rsidR="00725A91" w:rsidRPr="00021DC9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Pr="00021DC9" w:rsidRDefault="00AD2C22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</w:t>
            </w:r>
            <w:r w:rsidRPr="00021DC9">
              <w:rPr>
                <w:i/>
                <w:sz w:val="22"/>
                <w:szCs w:val="22"/>
              </w:rPr>
              <w:t xml:space="preserve">standby </w:t>
            </w:r>
            <w:r w:rsidRPr="00021DC9">
              <w:rPr>
                <w:sz w:val="22"/>
                <w:szCs w:val="22"/>
              </w:rPr>
              <w:t xml:space="preserve">o led onboard permanece ligado, sendo necessário caso queria desliga-lo, configurar via </w:t>
            </w:r>
            <w:r w:rsidRPr="00021DC9">
              <w:rPr>
                <w:i/>
                <w:sz w:val="22"/>
                <w:szCs w:val="22"/>
              </w:rPr>
              <w:t>software</w:t>
            </w:r>
            <w:r w:rsidRPr="00021DC9">
              <w:rPr>
                <w:sz w:val="22"/>
                <w:szCs w:val="22"/>
              </w:rPr>
              <w:t xml:space="preserve">. </w:t>
            </w:r>
          </w:p>
          <w:p w:rsidR="00405090" w:rsidRPr="00021DC9" w:rsidRDefault="00405090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primeiro valor de medição foi realizado com o multímetro DT830B</w:t>
            </w:r>
            <w:r w:rsidR="00AE7BBA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segundo valor de medição foi realizado com o multímetro Imimipa ET-1002</w:t>
            </w:r>
            <w:r w:rsidR="00021DC9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terceiro valor de medição foi realizado com o mult</w:t>
            </w:r>
            <w:r w:rsidR="00021DC9" w:rsidRPr="00021DC9">
              <w:rPr>
                <w:sz w:val="22"/>
                <w:szCs w:val="22"/>
              </w:rPr>
              <w:t>ímetro</w:t>
            </w:r>
          </w:p>
          <w:p w:rsidR="00021DC9" w:rsidRDefault="00021DC9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‘1 LED ligado’ </w:t>
            </w:r>
            <w:r>
              <w:rPr>
                <w:sz w:val="22"/>
                <w:szCs w:val="22"/>
              </w:rPr>
              <w:t>somente 1 do total de 8 LEDs é ligado, sendo a função seguinte ao ‘</w:t>
            </w:r>
            <w:r>
              <w:rPr>
                <w:i/>
                <w:sz w:val="22"/>
                <w:szCs w:val="22"/>
              </w:rPr>
              <w:t>standby</w:t>
            </w:r>
            <w:r>
              <w:rPr>
                <w:sz w:val="22"/>
                <w:szCs w:val="22"/>
              </w:rPr>
              <w:t>’</w:t>
            </w:r>
          </w:p>
          <w:p w:rsid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CPU executará uma série de operações aritméticas com a finalidade de por seu desempenho no máximo.</w:t>
            </w:r>
          </w:p>
          <w:p w:rsidR="00B436EF" w:rsidRDefault="004C59F7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Foi apresentada certa instabilidade nas medições, ou por grandes variações em curtos períodos de tempo ou pelo desligamento do ESP por problemas de alimentação.</w:t>
            </w:r>
          </w:p>
          <w:p w:rsidR="004C59F7" w:rsidRDefault="00BC1D24" w:rsidP="00BC1D24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os valores medidos foram registrados por multímetros, estes não apresentam grande precisão para valores próximos a 0, sendo 0,01Volts o menor valor possível registrado antes do 0. </w:t>
            </w:r>
          </w:p>
          <w:p w:rsidR="00BC1D24" w:rsidRDefault="00BC1D24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Aferição das medidas impossível, por desligamento </w:t>
            </w:r>
            <w:r w:rsidR="00A06B7E">
              <w:rPr>
                <w:sz w:val="22"/>
                <w:szCs w:val="22"/>
              </w:rPr>
              <w:t xml:space="preserve">ininterrupto </w:t>
            </w:r>
            <w:r>
              <w:rPr>
                <w:sz w:val="22"/>
                <w:szCs w:val="22"/>
              </w:rPr>
              <w:t>do ESP.</w:t>
            </w:r>
          </w:p>
          <w:p w:rsidR="00A06B7E" w:rsidRDefault="00A06B7E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Foram observados picos de tensão </w:t>
            </w:r>
            <w:r w:rsidR="00A435C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as aferições que podem comprometer a autonomia.</w:t>
            </w:r>
            <w:r w:rsidR="00A435CC">
              <w:rPr>
                <w:sz w:val="22"/>
                <w:szCs w:val="22"/>
              </w:rPr>
              <w:t xml:space="preserve"> Além de observada certa instabilidade por parte do ESP.</w:t>
            </w:r>
          </w:p>
          <w:p w:rsidR="00A435CC" w:rsidRPr="00021DC9" w:rsidRDefault="00A435CC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ESP apresentou muita instabilidade. </w:t>
            </w:r>
            <w:r>
              <w:rPr>
                <w:i/>
                <w:sz w:val="22"/>
                <w:szCs w:val="22"/>
              </w:rPr>
              <w:t xml:space="preserve">CARECE DE CONFIRMAÇÃO. 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44792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lastRenderedPageBreak/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9037C0" w:rsidRPr="0072218E" w:rsidRDefault="00535CC8" w:rsidP="00B0713D">
      <w:r w:rsidRPr="0072218E">
        <w:t>peso3 = valor do peso3 aplicado ao mAh</w:t>
      </w:r>
    </w:p>
    <w:p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:rsidR="00E236EE" w:rsidRDefault="00E236EE" w:rsidP="00CF4A1B"/>
    <w:p w:rsidR="00E236EE" w:rsidRPr="00CF4A1B" w:rsidRDefault="00E236EE" w:rsidP="00CF4A1B"/>
    <w:p w:rsidR="00236732" w:rsidRDefault="00236732" w:rsidP="00AA269F">
      <w:pPr>
        <w:jc w:val="both"/>
        <w:rPr>
          <w:b/>
          <w:sz w:val="28"/>
        </w:rPr>
      </w:pPr>
    </w:p>
    <w:p w:rsidR="00A404A1" w:rsidRDefault="00A404A1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447922"/>
      <w:r w:rsidRPr="00D95E73">
        <w:rPr>
          <w:b/>
          <w:sz w:val="28"/>
        </w:rPr>
        <w:t>Junho</w:t>
      </w:r>
      <w:bookmarkEnd w:id="31"/>
    </w:p>
    <w:p w:rsidR="00A404A1" w:rsidRPr="00370723" w:rsidRDefault="00A404A1" w:rsidP="00A404A1">
      <w:pPr>
        <w:pStyle w:val="Ttulo2"/>
      </w:pPr>
      <w:bookmarkStart w:id="32" w:name="_Toc516447923"/>
      <w:r>
        <w:t>Resultado final – Modelo de bateria</w:t>
      </w:r>
      <w:bookmarkEnd w:id="32"/>
    </w:p>
    <w:p w:rsidR="006645DA" w:rsidRDefault="006645DA" w:rsidP="00A404A1">
      <w:pPr>
        <w:pStyle w:val="Ttulo2"/>
        <w:rPr>
          <w:sz w:val="28"/>
        </w:rPr>
      </w:pPr>
    </w:p>
    <w:p w:rsidR="00CA7823" w:rsidRDefault="00CA7823" w:rsidP="00A404A1">
      <w:pPr>
        <w:pStyle w:val="Ttulo2"/>
        <w:rPr>
          <w:sz w:val="28"/>
        </w:rPr>
      </w:pPr>
      <w:bookmarkStart w:id="33" w:name="_Toc51644792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:rsidR="0031681E" w:rsidRDefault="0031681E" w:rsidP="00A404A1">
      <w:pPr>
        <w:pStyle w:val="Ttulo2"/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447925"/>
      <w:r w:rsidRPr="00D95E73">
        <w:rPr>
          <w:b/>
          <w:sz w:val="28"/>
        </w:rPr>
        <w:t>Julho</w:t>
      </w:r>
      <w:bookmarkEnd w:id="34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447926"/>
      <w:r w:rsidRPr="00D95E73">
        <w:rPr>
          <w:b/>
          <w:sz w:val="28"/>
        </w:rPr>
        <w:t>Agosto</w:t>
      </w:r>
      <w:bookmarkEnd w:id="35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447927"/>
      <w:r w:rsidRPr="00D95E73">
        <w:rPr>
          <w:b/>
          <w:sz w:val="28"/>
        </w:rPr>
        <w:t>Setembro</w:t>
      </w:r>
      <w:bookmarkEnd w:id="36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447928"/>
      <w:r w:rsidRPr="00D95E73">
        <w:rPr>
          <w:b/>
          <w:sz w:val="28"/>
        </w:rPr>
        <w:t>Outubro</w:t>
      </w:r>
      <w:bookmarkEnd w:id="37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447929"/>
      <w:r w:rsidRPr="00D95E73">
        <w:rPr>
          <w:b/>
          <w:sz w:val="28"/>
        </w:rPr>
        <w:t>Novembro</w:t>
      </w:r>
      <w:bookmarkEnd w:id="38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447930"/>
      <w:r w:rsidRPr="00D95E73">
        <w:rPr>
          <w:b/>
          <w:sz w:val="28"/>
        </w:rPr>
        <w:t>Dezembro</w:t>
      </w:r>
      <w:bookmarkEnd w:id="39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447931"/>
      <w:r w:rsidRPr="00D95E73">
        <w:rPr>
          <w:b/>
          <w:sz w:val="28"/>
        </w:rPr>
        <w:t>Janeiro</w:t>
      </w:r>
      <w:bookmarkEnd w:id="40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447932"/>
      <w:r w:rsidRPr="00D95E73">
        <w:rPr>
          <w:b/>
          <w:sz w:val="28"/>
        </w:rPr>
        <w:t>Fevereiro</w:t>
      </w:r>
      <w:bookmarkEnd w:id="41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44793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Polymer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</w:t>
              </w:r>
              <w:r w:rsidRPr="00A22383">
                <w:rPr>
                  <w:rStyle w:val="Hyperlink"/>
                </w:rPr>
                <w:lastRenderedPageBreak/>
                <w:t>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Cylindrical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D62" w:rsidRDefault="00C14D62" w:rsidP="00933DE6">
      <w:pPr>
        <w:spacing w:after="0" w:line="240" w:lineRule="auto"/>
      </w:pPr>
      <w:r>
        <w:separator/>
      </w:r>
    </w:p>
  </w:endnote>
  <w:endnote w:type="continuationSeparator" w:id="0">
    <w:p w:rsidR="00C14D62" w:rsidRDefault="00C14D62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:rsidR="00953ECB" w:rsidRDefault="00953E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69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53ECB" w:rsidRDefault="00953E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D62" w:rsidRDefault="00C14D62" w:rsidP="00933DE6">
      <w:pPr>
        <w:spacing w:after="0" w:line="240" w:lineRule="auto"/>
      </w:pPr>
      <w:r>
        <w:separator/>
      </w:r>
    </w:p>
  </w:footnote>
  <w:footnote w:type="continuationSeparator" w:id="0">
    <w:p w:rsidR="00C14D62" w:rsidRDefault="00C14D62" w:rsidP="00933DE6">
      <w:pPr>
        <w:spacing w:after="0" w:line="240" w:lineRule="auto"/>
      </w:pPr>
      <w:r>
        <w:continuationSeparator/>
      </w:r>
    </w:p>
  </w:footnote>
  <w:footnote w:id="1">
    <w:p w:rsidR="00953ECB" w:rsidRDefault="00953ECB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953ECB" w:rsidRDefault="00953EC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953ECB" w:rsidRDefault="00953ECB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953ECB" w:rsidRDefault="00953ECB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20058"/>
    <w:rsid w:val="00021DC9"/>
    <w:rsid w:val="0003503D"/>
    <w:rsid w:val="0004192A"/>
    <w:rsid w:val="0009501F"/>
    <w:rsid w:val="00096F87"/>
    <w:rsid w:val="000A1E8D"/>
    <w:rsid w:val="000A2240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33753"/>
    <w:rsid w:val="00133EC0"/>
    <w:rsid w:val="00160F9E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200FAE"/>
    <w:rsid w:val="002071A9"/>
    <w:rsid w:val="002144DD"/>
    <w:rsid w:val="002160DD"/>
    <w:rsid w:val="002200B5"/>
    <w:rsid w:val="002219D6"/>
    <w:rsid w:val="0022382C"/>
    <w:rsid w:val="002338A6"/>
    <w:rsid w:val="00236732"/>
    <w:rsid w:val="00247D30"/>
    <w:rsid w:val="00252801"/>
    <w:rsid w:val="00264F7D"/>
    <w:rsid w:val="00265427"/>
    <w:rsid w:val="0026542F"/>
    <w:rsid w:val="00281A15"/>
    <w:rsid w:val="00283257"/>
    <w:rsid w:val="002862FB"/>
    <w:rsid w:val="00292EBE"/>
    <w:rsid w:val="00296563"/>
    <w:rsid w:val="00297276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B5DEC"/>
    <w:rsid w:val="003C30F9"/>
    <w:rsid w:val="003C7CC1"/>
    <w:rsid w:val="003D6EBB"/>
    <w:rsid w:val="00405090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0EA0"/>
    <w:rsid w:val="00474CFF"/>
    <w:rsid w:val="00483CC8"/>
    <w:rsid w:val="00490AB6"/>
    <w:rsid w:val="004C59F7"/>
    <w:rsid w:val="004E2107"/>
    <w:rsid w:val="004E2830"/>
    <w:rsid w:val="004F0337"/>
    <w:rsid w:val="004F594C"/>
    <w:rsid w:val="0051086F"/>
    <w:rsid w:val="00521522"/>
    <w:rsid w:val="00535CC8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41E54"/>
    <w:rsid w:val="00645A21"/>
    <w:rsid w:val="00647DDB"/>
    <w:rsid w:val="00647ED5"/>
    <w:rsid w:val="00651616"/>
    <w:rsid w:val="00654EDB"/>
    <w:rsid w:val="00661EDF"/>
    <w:rsid w:val="00662BAF"/>
    <w:rsid w:val="006645DA"/>
    <w:rsid w:val="00675DEB"/>
    <w:rsid w:val="00681B72"/>
    <w:rsid w:val="00684833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6998"/>
    <w:rsid w:val="006F7581"/>
    <w:rsid w:val="0070106C"/>
    <w:rsid w:val="00711E3F"/>
    <w:rsid w:val="00717D42"/>
    <w:rsid w:val="0072218E"/>
    <w:rsid w:val="00725A91"/>
    <w:rsid w:val="00732C65"/>
    <w:rsid w:val="0073669A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6DD2"/>
    <w:rsid w:val="008D1466"/>
    <w:rsid w:val="008D1BB8"/>
    <w:rsid w:val="009037C0"/>
    <w:rsid w:val="0090571C"/>
    <w:rsid w:val="00905C0A"/>
    <w:rsid w:val="00914FC4"/>
    <w:rsid w:val="00915735"/>
    <w:rsid w:val="00926D67"/>
    <w:rsid w:val="009320CB"/>
    <w:rsid w:val="00933DE6"/>
    <w:rsid w:val="00953ECB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06B7E"/>
    <w:rsid w:val="00A12E71"/>
    <w:rsid w:val="00A14271"/>
    <w:rsid w:val="00A17B48"/>
    <w:rsid w:val="00A233B3"/>
    <w:rsid w:val="00A26658"/>
    <w:rsid w:val="00A404A1"/>
    <w:rsid w:val="00A41F45"/>
    <w:rsid w:val="00A435CC"/>
    <w:rsid w:val="00A4495A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E7BBA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36EF"/>
    <w:rsid w:val="00B4668D"/>
    <w:rsid w:val="00B65802"/>
    <w:rsid w:val="00B741C0"/>
    <w:rsid w:val="00B75965"/>
    <w:rsid w:val="00B77307"/>
    <w:rsid w:val="00B77C51"/>
    <w:rsid w:val="00B81747"/>
    <w:rsid w:val="00B8394A"/>
    <w:rsid w:val="00B861DB"/>
    <w:rsid w:val="00B90784"/>
    <w:rsid w:val="00B94321"/>
    <w:rsid w:val="00BA1A04"/>
    <w:rsid w:val="00BB1E3D"/>
    <w:rsid w:val="00BB35F9"/>
    <w:rsid w:val="00BB7212"/>
    <w:rsid w:val="00BC1D24"/>
    <w:rsid w:val="00BC24D3"/>
    <w:rsid w:val="00BC45FA"/>
    <w:rsid w:val="00BC5A94"/>
    <w:rsid w:val="00BD4C24"/>
    <w:rsid w:val="00BF2DD7"/>
    <w:rsid w:val="00BF4167"/>
    <w:rsid w:val="00C05D8D"/>
    <w:rsid w:val="00C109A8"/>
    <w:rsid w:val="00C14D62"/>
    <w:rsid w:val="00C25D7A"/>
    <w:rsid w:val="00C32716"/>
    <w:rsid w:val="00C46EE6"/>
    <w:rsid w:val="00C515D3"/>
    <w:rsid w:val="00C54045"/>
    <w:rsid w:val="00C545D8"/>
    <w:rsid w:val="00C54C49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D282C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2B62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57095"/>
    <w:rsid w:val="00E61EDD"/>
    <w:rsid w:val="00E84B13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2BB2"/>
    <w:rsid w:val="00F63DFF"/>
    <w:rsid w:val="00F64B92"/>
    <w:rsid w:val="00F82D57"/>
    <w:rsid w:val="00F84BB4"/>
    <w:rsid w:val="00F95ACD"/>
    <w:rsid w:val="00F95E40"/>
    <w:rsid w:val="00FA08F9"/>
    <w:rsid w:val="00FA143E"/>
    <w:rsid w:val="00FA7D8E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F23A2"/>
  <w15:docId w15:val="{502A5D13-468D-48C5-A5FF-2A8225B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ED7BA-92E5-4168-801C-8F13AF07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3694</TotalTime>
  <Pages>1</Pages>
  <Words>4121</Words>
  <Characters>22256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63</cp:revision>
  <cp:lastPrinted>2018-06-19T02:53:00Z</cp:lastPrinted>
  <dcterms:created xsi:type="dcterms:W3CDTF">2018-05-25T18:49:00Z</dcterms:created>
  <dcterms:modified xsi:type="dcterms:W3CDTF">2018-06-19T02:53:00Z</dcterms:modified>
</cp:coreProperties>
</file>