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647DDB">
            <w:fldChar w:fldCharType="begin"/>
          </w:r>
          <w:r w:rsidR="006645DA" w:rsidRPr="00D95E73">
            <w:instrText xml:space="preserve"> TOC \o "1-3" \h \z \u </w:instrText>
          </w:r>
          <w:r w:rsidRPr="00647DDB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647DD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647DDB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647DDB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647DDB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647DDB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647DDB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647DDB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647DD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647DD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647DD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647DD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647DD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647DD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</w:t>
      </w:r>
      <w:proofErr w:type="spellStart"/>
      <w:r w:rsidRPr="001C427D">
        <w:t>Active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>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AE2A55" w:rsidRPr="00AE2A55" w:rsidRDefault="00AE2A55" w:rsidP="00AE2A55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/>
      </w:tblPr>
      <w:tblGrid>
        <w:gridCol w:w="2458"/>
        <w:gridCol w:w="2461"/>
        <w:gridCol w:w="1012"/>
        <w:gridCol w:w="1591"/>
        <w:gridCol w:w="1452"/>
        <w:gridCol w:w="1306"/>
      </w:tblGrid>
      <w:tr w:rsidR="00B2357E" w:rsidRPr="00370723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proofErr w:type="gram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</w:t>
            </w:r>
            <w:proofErr w:type="gramEnd"/>
            <w:r w:rsidR="00521522">
              <w:rPr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EA06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6" w:type="pct"/>
            <w:vAlign w:val="center"/>
          </w:tcPr>
          <w:p w:rsidR="000A1E8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A1427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4v</w:t>
            </w:r>
            <w:proofErr w:type="gramEnd"/>
            <w:r>
              <w:rPr>
                <w:sz w:val="16"/>
                <w:szCs w:val="16"/>
              </w:rPr>
              <w:t xml:space="preserve"> e 3.3v  instabilidade – 75 ma media</w:t>
            </w:r>
          </w:p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B04C9D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Pr="00B11A52" w:rsidRDefault="00283257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</w:tc>
        <w:tc>
          <w:tcPr>
            <w:tcW w:w="706" w:type="pct"/>
            <w:vAlign w:val="center"/>
          </w:tcPr>
          <w:p w:rsidR="00B04C9D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E61EDD" w:rsidRPr="00370723" w:rsidTr="00AE2A55">
        <w:trPr>
          <w:trHeight w:val="378"/>
        </w:trPr>
        <w:tc>
          <w:tcPr>
            <w:tcW w:w="2393" w:type="pct"/>
            <w:gridSpan w:val="2"/>
            <w:vMerge/>
            <w:vAlign w:val="center"/>
          </w:tcPr>
          <w:p w:rsidR="00E61EDD" w:rsidRPr="00B11A52" w:rsidRDefault="00E61EDD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pct"/>
            <w:gridSpan w:val="4"/>
            <w:vAlign w:val="center"/>
          </w:tcPr>
          <w:p w:rsidR="00E61EDD" w:rsidRPr="00B11A52" w:rsidRDefault="00E61EDD" w:rsidP="00662BA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Obs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gramStart"/>
            <w:r>
              <w:rPr>
                <w:sz w:val="16"/>
                <w:szCs w:val="16"/>
              </w:rPr>
              <w:t>4v</w:t>
            </w:r>
            <w:proofErr w:type="gramEnd"/>
            <w:r>
              <w:rPr>
                <w:sz w:val="16"/>
                <w:szCs w:val="16"/>
              </w:rPr>
              <w:t xml:space="preserve"> e 3.3v  instabilidade – 70 ma media</w:t>
            </w: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6" w:type="pct"/>
            <w:vAlign w:val="center"/>
          </w:tcPr>
          <w:p w:rsidR="007B32B0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283257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283257" w:rsidRPr="00B11A52" w:rsidRDefault="0028325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E61EDD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E61EDD" w:rsidRPr="00B11A52" w:rsidRDefault="00E61ED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3</w:t>
            </w:r>
          </w:p>
        </w:tc>
        <w:tc>
          <w:tcPr>
            <w:tcW w:w="706" w:type="pct"/>
            <w:vAlign w:val="center"/>
          </w:tcPr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E61EDD" w:rsidRDefault="00E61EDD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651616">
              <w:rPr>
                <w:sz w:val="16"/>
                <w:szCs w:val="16"/>
              </w:rPr>
              <w:t>2</w:t>
            </w:r>
          </w:p>
          <w:p w:rsidR="00651616" w:rsidRPr="00B11A52" w:rsidRDefault="00651616" w:rsidP="00E61E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6" w:type="pct"/>
            <w:vAlign w:val="center"/>
          </w:tcPr>
          <w:p w:rsidR="007B32B0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</w:t>
            </w:r>
            <w:r w:rsidR="00B04C9D">
              <w:rPr>
                <w:sz w:val="16"/>
                <w:szCs w:val="16"/>
              </w:rPr>
              <w:t>3</w:t>
            </w:r>
          </w:p>
          <w:p w:rsidR="00B04C9D" w:rsidRDefault="00B04C9D" w:rsidP="00B04C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6" w:type="pct"/>
            <w:vAlign w:val="center"/>
          </w:tcPr>
          <w:p w:rsidR="007B32B0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B04C9D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B04C9D" w:rsidRPr="00B11A52" w:rsidRDefault="00B04C9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6" w:type="pct"/>
            <w:vAlign w:val="center"/>
          </w:tcPr>
          <w:p w:rsidR="007B32B0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4E2107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4E2107" w:rsidRPr="00B11A52" w:rsidRDefault="004E210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651616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651616" w:rsidRPr="00B11A52" w:rsidRDefault="00651616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 w:rsidR="00A41F45">
              <w:rPr>
                <w:sz w:val="16"/>
                <w:szCs w:val="16"/>
              </w:rPr>
              <w:t>1</w:t>
            </w:r>
          </w:p>
        </w:tc>
        <w:tc>
          <w:tcPr>
            <w:tcW w:w="706" w:type="pct"/>
            <w:vAlign w:val="center"/>
          </w:tcPr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651616" w:rsidRDefault="00651616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5" w:type="pct"/>
            <w:vAlign w:val="center"/>
          </w:tcPr>
          <w:p w:rsidR="00651616" w:rsidRPr="00B11A52" w:rsidRDefault="00651616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</w:t>
            </w:r>
            <w:proofErr w:type="spellEnd"/>
          </w:p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A41F45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A41F45" w:rsidRPr="00B11A52" w:rsidRDefault="00A41F45" w:rsidP="00A41F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021C5" w:rsidRPr="00E84B13" w:rsidTr="00D021C5">
        <w:trPr>
          <w:trHeight w:val="170"/>
        </w:trPr>
        <w:tc>
          <w:tcPr>
            <w:tcW w:w="1196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021C5" w:rsidRPr="00B11A52" w:rsidRDefault="00D021C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42B35" w:rsidRPr="00E84B13" w:rsidTr="00542B35">
        <w:trPr>
          <w:trHeight w:val="170"/>
        </w:trPr>
        <w:tc>
          <w:tcPr>
            <w:tcW w:w="1196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542B35" w:rsidRPr="00B11A52" w:rsidRDefault="00542B35" w:rsidP="00542B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6" w:type="pct"/>
            <w:vAlign w:val="center"/>
          </w:tcPr>
          <w:p w:rsidR="00B861DB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542B35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542B35" w:rsidRPr="00B11A52" w:rsidRDefault="00542B3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6" w:type="pct"/>
            <w:vAlign w:val="center"/>
          </w:tcPr>
          <w:p w:rsidR="00B861DB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E57095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57095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E57095" w:rsidRPr="00B11A52" w:rsidRDefault="00E57095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E57095" w:rsidRPr="00B11A52" w:rsidRDefault="00E57095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E57095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6" w:type="pct"/>
            <w:vAlign w:val="center"/>
          </w:tcPr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E57095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B861DB" w:rsidRPr="00B11A52" w:rsidRDefault="00E57095" w:rsidP="00E5709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6" w:type="pct"/>
            <w:vAlign w:val="center"/>
          </w:tcPr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33EC0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33EC0" w:rsidRPr="00B11A52" w:rsidRDefault="00133EC0" w:rsidP="00133E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33EC0" w:rsidRPr="00E84B13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133EC0" w:rsidRPr="00B11A52" w:rsidRDefault="00133EC0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133EC0" w:rsidRPr="00B11A52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133EC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6" w:type="pct"/>
            <w:vAlign w:val="center"/>
          </w:tcPr>
          <w:p w:rsidR="00B861DB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681B7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AE2A55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instável</w:t>
            </w:r>
            <w:proofErr w:type="spellEnd"/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81B72" w:rsidRPr="00B861DB" w:rsidTr="00681B72">
        <w:trPr>
          <w:trHeight w:val="170"/>
        </w:trPr>
        <w:tc>
          <w:tcPr>
            <w:tcW w:w="1196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681B72" w:rsidRPr="00B11A52" w:rsidRDefault="00681B72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681B72" w:rsidRPr="00B11A52" w:rsidRDefault="00681B72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72.3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706" w:type="pct"/>
            <w:vAlign w:val="center"/>
          </w:tcPr>
          <w:p w:rsidR="00B861DB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6" w:type="pct"/>
            <w:vAlign w:val="center"/>
          </w:tcPr>
          <w:p w:rsidR="00B861DB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662BAF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662BAF" w:rsidRPr="00B11A52" w:rsidRDefault="00662BAF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</w:t>
            </w:r>
            <w:r w:rsidR="00247D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73.1</w:t>
            </w:r>
          </w:p>
        </w:tc>
        <w:tc>
          <w:tcPr>
            <w:tcW w:w="635" w:type="pct"/>
            <w:vAlign w:val="center"/>
          </w:tcPr>
          <w:p w:rsidR="00B861DB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instabilidade</w:t>
            </w:r>
            <w:proofErr w:type="spellEnd"/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71.4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B861DB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247D30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247D30" w:rsidRPr="00B11A52" w:rsidRDefault="00247D30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706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</w:t>
            </w:r>
          </w:p>
        </w:tc>
        <w:tc>
          <w:tcPr>
            <w:tcW w:w="635" w:type="pct"/>
            <w:vAlign w:val="center"/>
          </w:tcPr>
          <w:p w:rsidR="00B861DB" w:rsidRPr="00B11A52" w:rsidRDefault="00FE147E" w:rsidP="00B861DB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instabilidade</w:t>
            </w:r>
            <w:proofErr w:type="spellEnd"/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72.2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706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Muito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inst</w:t>
            </w: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70.1</w:t>
            </w:r>
          </w:p>
          <w:p w:rsidR="00FE147E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70.5</w:t>
            </w:r>
          </w:p>
          <w:p w:rsidR="00FE147E" w:rsidRPr="00D706A9" w:rsidRDefault="00FE147E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71.3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71.6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72.1</w:t>
            </w:r>
          </w:p>
        </w:tc>
        <w:tc>
          <w:tcPr>
            <w:tcW w:w="635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3.4 </w:t>
            </w:r>
            <w:proofErr w:type="spellStart"/>
            <w:r>
              <w:rPr>
                <w:sz w:val="16"/>
                <w:szCs w:val="16"/>
                <w:lang w:val="en-US"/>
              </w:rPr>
              <w:t>funfa</w:t>
            </w:r>
            <w:proofErr w:type="spellEnd"/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3.3 n</w:t>
            </w: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70.9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71.1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71.7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70.8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71.5</w:t>
            </w:r>
          </w:p>
        </w:tc>
        <w:tc>
          <w:tcPr>
            <w:tcW w:w="706" w:type="pct"/>
            <w:vAlign w:val="center"/>
          </w:tcPr>
          <w:p w:rsid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71.2</w:t>
            </w:r>
          </w:p>
          <w:p w:rsidR="00A26658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71.0</w:t>
            </w:r>
          </w:p>
          <w:p w:rsidR="00A26658" w:rsidRPr="00D706A9" w:rsidRDefault="00A26658" w:rsidP="00D706A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71.8</w:t>
            </w: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</w:tc>
        <w:tc>
          <w:tcPr>
            <w:tcW w:w="635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 ok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 n</w:t>
            </w: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70.9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71.6</w:t>
            </w:r>
          </w:p>
        </w:tc>
        <w:tc>
          <w:tcPr>
            <w:tcW w:w="706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71.3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70.6</w:t>
            </w:r>
          </w:p>
          <w:p w:rsidR="00AE2A55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</w:tc>
        <w:tc>
          <w:tcPr>
            <w:tcW w:w="706" w:type="pct"/>
            <w:vAlign w:val="center"/>
          </w:tcPr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AE2A55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AE2A55" w:rsidRPr="00B11A52" w:rsidRDefault="00AE2A55" w:rsidP="00AE2A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706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</w:t>
            </w:r>
          </w:p>
        </w:tc>
        <w:tc>
          <w:tcPr>
            <w:tcW w:w="635" w:type="pct"/>
            <w:vAlign w:val="center"/>
          </w:tcPr>
          <w:p w:rsidR="00D706A9" w:rsidRPr="00B11A52" w:rsidRDefault="00AE2A55" w:rsidP="00D706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Muito </w:t>
            </w: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8" w:name="_GoBack"/>
            <w:bookmarkStart w:id="29" w:name="_Toc516447920"/>
            <w:bookmarkEnd w:id="28"/>
            <w:r>
              <w:t>Notas:</w:t>
            </w:r>
            <w:bookmarkEnd w:id="29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lastRenderedPageBreak/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proofErr w:type="gramStart"/>
      <w:r w:rsidRPr="0072218E">
        <w:t>peso1</w:t>
      </w:r>
      <w:proofErr w:type="gramEnd"/>
      <w:r w:rsidRPr="0072218E">
        <w:t xml:space="preserve">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proofErr w:type="gramStart"/>
      <w:r w:rsidRPr="0072218E">
        <w:lastRenderedPageBreak/>
        <w:t>peso2</w:t>
      </w:r>
      <w:proofErr w:type="gramEnd"/>
      <w:r w:rsidRPr="0072218E">
        <w:t xml:space="preserve"> = valor do peso2 aplicado ao Custo</w:t>
      </w:r>
    </w:p>
    <w:p w:rsidR="00535CC8" w:rsidRPr="0072218E" w:rsidRDefault="00535CC8" w:rsidP="00B0713D">
      <w:proofErr w:type="gramStart"/>
      <w:r w:rsidRPr="0072218E">
        <w:t>mAh</w:t>
      </w:r>
      <w:proofErr w:type="gramEnd"/>
      <w:r w:rsidRPr="0072218E">
        <w:t xml:space="preserve"> = Corrente fornecida em 1 hora de uso pela bateria</w:t>
      </w:r>
    </w:p>
    <w:p w:rsidR="009037C0" w:rsidRPr="0072218E" w:rsidRDefault="00535CC8" w:rsidP="00B0713D">
      <w:proofErr w:type="gramStart"/>
      <w:r w:rsidRPr="0072218E">
        <w:t>peso3</w:t>
      </w:r>
      <w:proofErr w:type="gramEnd"/>
      <w:r w:rsidRPr="0072218E">
        <w:t xml:space="preserve">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lastRenderedPageBreak/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</w:t>
            </w:r>
            <w:proofErr w:type="spellStart"/>
            <w:r w:rsidRPr="00D95E73">
              <w:t>Flex</w:t>
            </w:r>
            <w:proofErr w:type="spellEnd"/>
            <w:r w:rsidRPr="00D95E73">
              <w:t xml:space="preserve"> </w:t>
            </w:r>
            <w:proofErr w:type="spellStart"/>
            <w:r w:rsidRPr="00D95E73">
              <w:t>X-cell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lastRenderedPageBreak/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D8D" w:rsidRDefault="00C05D8D" w:rsidP="00933DE6">
      <w:pPr>
        <w:spacing w:after="0" w:line="240" w:lineRule="auto"/>
      </w:pPr>
      <w:r>
        <w:separator/>
      </w:r>
    </w:p>
  </w:endnote>
  <w:endnote w:type="continuationSeparator" w:id="0">
    <w:p w:rsidR="00C05D8D" w:rsidRDefault="00C05D8D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920848"/>
      <w:docPartObj>
        <w:docPartGallery w:val="Page Numbers (Bottom of Page)"/>
        <w:docPartUnique/>
      </w:docPartObj>
    </w:sdtPr>
    <w:sdtContent>
      <w:p w:rsidR="00662BAF" w:rsidRDefault="00662BAF">
        <w:pPr>
          <w:pStyle w:val="Rodap"/>
          <w:jc w:val="right"/>
        </w:pPr>
        <w:fldSimple w:instr="PAGE   \* MERGEFORMAT">
          <w:r w:rsidR="00AE2A55">
            <w:rPr>
              <w:noProof/>
            </w:rPr>
            <w:t>8</w:t>
          </w:r>
        </w:fldSimple>
      </w:p>
    </w:sdtContent>
  </w:sdt>
  <w:p w:rsidR="00662BAF" w:rsidRDefault="00662B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D8D" w:rsidRDefault="00C05D8D" w:rsidP="00933DE6">
      <w:pPr>
        <w:spacing w:after="0" w:line="240" w:lineRule="auto"/>
      </w:pPr>
      <w:r>
        <w:separator/>
      </w:r>
    </w:p>
  </w:footnote>
  <w:footnote w:type="continuationSeparator" w:id="0">
    <w:p w:rsidR="00C05D8D" w:rsidRDefault="00C05D8D" w:rsidP="00933DE6">
      <w:pPr>
        <w:spacing w:after="0" w:line="240" w:lineRule="auto"/>
      </w:pPr>
      <w:r>
        <w:continuationSeparator/>
      </w:r>
    </w:p>
  </w:footnote>
  <w:footnote w:id="1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662BAF" w:rsidRDefault="00662BA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662BAF" w:rsidRDefault="00662BAF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A0F5E"/>
    <w:rsid w:val="00020058"/>
    <w:rsid w:val="0003503D"/>
    <w:rsid w:val="0004192A"/>
    <w:rsid w:val="0009501F"/>
    <w:rsid w:val="00096F87"/>
    <w:rsid w:val="000A1E8D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47D30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4271"/>
    <w:rsid w:val="00A17B48"/>
    <w:rsid w:val="00A2665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05D8D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A4800-3399-4BFE-805B-8A1B34A5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12</Pages>
  <Words>3905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</cp:lastModifiedBy>
  <cp:revision>50</cp:revision>
  <cp:lastPrinted>2018-06-11T05:36:00Z</cp:lastPrinted>
  <dcterms:created xsi:type="dcterms:W3CDTF">2018-05-25T18:49:00Z</dcterms:created>
  <dcterms:modified xsi:type="dcterms:W3CDTF">2018-06-15T12:44:00Z</dcterms:modified>
</cp:coreProperties>
</file>