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380F0E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7389948" w:history="1">
            <w:r w:rsidR="00380F0E" w:rsidRPr="004157C5">
              <w:rPr>
                <w:rStyle w:val="Hyperlink"/>
                <w:b/>
                <w:noProof/>
              </w:rPr>
              <w:t>1.</w:t>
            </w:r>
            <w:r w:rsidR="00380F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80F0E" w:rsidRPr="004157C5">
              <w:rPr>
                <w:rStyle w:val="Hyperlink"/>
                <w:b/>
                <w:noProof/>
              </w:rPr>
              <w:t>Março</w:t>
            </w:r>
            <w:r w:rsidR="00380F0E">
              <w:rPr>
                <w:noProof/>
                <w:webHidden/>
              </w:rPr>
              <w:tab/>
            </w:r>
            <w:r w:rsidR="00380F0E">
              <w:rPr>
                <w:noProof/>
                <w:webHidden/>
              </w:rPr>
              <w:fldChar w:fldCharType="begin"/>
            </w:r>
            <w:r w:rsidR="00380F0E">
              <w:rPr>
                <w:noProof/>
                <w:webHidden/>
              </w:rPr>
              <w:instrText xml:space="preserve"> PAGEREF _Toc517389948 \h </w:instrText>
            </w:r>
            <w:r w:rsidR="00380F0E">
              <w:rPr>
                <w:noProof/>
                <w:webHidden/>
              </w:rPr>
            </w:r>
            <w:r w:rsidR="00380F0E">
              <w:rPr>
                <w:noProof/>
                <w:webHidden/>
              </w:rPr>
              <w:fldChar w:fldCharType="separate"/>
            </w:r>
            <w:r w:rsidR="00380F0E">
              <w:rPr>
                <w:noProof/>
                <w:webHidden/>
              </w:rPr>
              <w:t>2</w:t>
            </w:r>
            <w:r w:rsidR="00380F0E"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49" w:history="1">
            <w:r w:rsidRPr="004157C5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0" w:history="1">
            <w:r w:rsidRPr="004157C5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1" w:history="1">
            <w:r w:rsidRPr="004157C5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2" w:history="1">
            <w:r w:rsidRPr="004157C5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3" w:history="1">
            <w:r w:rsidRPr="004157C5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4" w:history="1">
            <w:r w:rsidRPr="004157C5">
              <w:rPr>
                <w:rStyle w:val="Hyperlink"/>
                <w:noProof/>
              </w:rPr>
              <w:t xml:space="preserve">Placa </w:t>
            </w:r>
            <w:r w:rsidRPr="004157C5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5" w:history="1">
            <w:r w:rsidRPr="004157C5">
              <w:rPr>
                <w:rStyle w:val="Hyperlink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6" w:history="1">
            <w:r w:rsidRPr="004157C5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7" w:history="1">
            <w:r w:rsidRPr="004157C5">
              <w:rPr>
                <w:rStyle w:val="Hyperlink"/>
                <w:noProof/>
              </w:rPr>
              <w:t>Tabel</w:t>
            </w:r>
            <w:r w:rsidRPr="004157C5">
              <w:rPr>
                <w:rStyle w:val="Hyperlink"/>
                <w:noProof/>
              </w:rPr>
              <w:t>a</w:t>
            </w:r>
            <w:r w:rsidRPr="004157C5">
              <w:rPr>
                <w:rStyle w:val="Hyperlink"/>
                <w:noProof/>
              </w:rPr>
              <w:t xml:space="preserve"> 3 – Resultados dos testes de consumo da placa WeMos D1 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8" w:history="1">
            <w:r w:rsidRPr="004157C5">
              <w:rPr>
                <w:rStyle w:val="Hyperlink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59" w:history="1">
            <w:r w:rsidRPr="004157C5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0" w:history="1">
            <w:r w:rsidRPr="004157C5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1" w:history="1">
            <w:r w:rsidRPr="004157C5">
              <w:rPr>
                <w:rStyle w:val="Hyperlink"/>
                <w:noProof/>
              </w:rPr>
              <w:t>Resultad</w:t>
            </w:r>
            <w:r w:rsidRPr="004157C5">
              <w:rPr>
                <w:rStyle w:val="Hyperlink"/>
                <w:noProof/>
              </w:rPr>
              <w:t>o</w:t>
            </w:r>
            <w:r w:rsidRPr="004157C5">
              <w:rPr>
                <w:rStyle w:val="Hyperlink"/>
                <w:noProof/>
              </w:rPr>
              <w:t xml:space="preserve">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2" w:history="1">
            <w:r w:rsidRPr="004157C5">
              <w:rPr>
                <w:rStyle w:val="Hyperlink"/>
                <w:noProof/>
              </w:rPr>
              <w:t>Quadro técnico de placas e seus protocolos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3" w:history="1">
            <w:r w:rsidRPr="004157C5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4" w:history="1">
            <w:r w:rsidRPr="004157C5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5" w:history="1">
            <w:r w:rsidRPr="004157C5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6" w:history="1">
            <w:r w:rsidRPr="004157C5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7" w:history="1">
            <w:r w:rsidRPr="004157C5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8" w:history="1">
            <w:r w:rsidRPr="004157C5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69" w:history="1">
            <w:r w:rsidRPr="004157C5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70" w:history="1">
            <w:r w:rsidRPr="004157C5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157C5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F0E" w:rsidRDefault="00380F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89971" w:history="1">
            <w:r w:rsidRPr="004157C5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7389948"/>
      <w:r w:rsidRPr="00D95E73">
        <w:rPr>
          <w:b/>
          <w:sz w:val="28"/>
        </w:rPr>
        <w:lastRenderedPageBreak/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7389949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7389950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380F0E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380F0E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7389951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7389952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80F0E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80F0E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80F0E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80F0E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80F0E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380F0E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7389953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7389954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B416D4A" wp14:editId="080A88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7389955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7389956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8" w:name="_Toc517389957"/>
      <w:r w:rsidRPr="00C54045">
        <w:t xml:space="preserve">Tabela 3 – Resultados dos testes de consumo da placa </w:t>
      </w:r>
      <w:r w:rsidRPr="00161627">
        <w:t>WeMos D1 mini</w:t>
      </w:r>
      <w:bookmarkEnd w:id="2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63,8016667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7,61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 xml:space="preserve">Instabilidade  - </w:t>
            </w:r>
            <w:r w:rsidRPr="00E45BFC">
              <w:rPr>
                <w:rFonts w:eastAsia="Times New Roman"/>
                <w:strike/>
                <w:color w:val="000000"/>
                <w:sz w:val="16"/>
                <w:szCs w:val="16"/>
                <w:lang w:eastAsia="pt-BR"/>
              </w:rPr>
              <w:t>discrepâncias nas medições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29" w:name="_Toc517389958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29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7389959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9037C0" w:rsidRPr="0072218E" w:rsidRDefault="00535CC8" w:rsidP="00B0713D">
      <w:r w:rsidRPr="0072218E">
        <w:t>peso3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7389960"/>
      <w:r w:rsidRPr="00D95E73">
        <w:rPr>
          <w:b/>
          <w:sz w:val="28"/>
        </w:rPr>
        <w:t>Junho</w:t>
      </w:r>
      <w:bookmarkEnd w:id="31"/>
    </w:p>
    <w:p w:rsidR="00F67137" w:rsidRPr="00F67137" w:rsidRDefault="00F67137" w:rsidP="00F67137">
      <w:pPr>
        <w:pStyle w:val="Ttulo1"/>
      </w:pPr>
    </w:p>
    <w:p w:rsidR="00F67137" w:rsidRPr="00F67137" w:rsidRDefault="00F67137" w:rsidP="00F67137">
      <w:pPr>
        <w:pStyle w:val="Ttulo2"/>
        <w:ind w:firstLine="360"/>
        <w:rPr>
          <w:sz w:val="28"/>
        </w:rPr>
      </w:pPr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</w:p>
    <w:p w:rsidR="00F67137" w:rsidRDefault="00F67137" w:rsidP="00F67137">
      <w:pPr>
        <w:jc w:val="both"/>
        <w:outlineLvl w:val="0"/>
      </w:pPr>
    </w:p>
    <w:p w:rsidR="00F67137" w:rsidRPr="00F67137" w:rsidRDefault="00F67137" w:rsidP="00F67137">
      <w:pPr>
        <w:jc w:val="both"/>
        <w:outlineLvl w:val="0"/>
      </w:pPr>
      <w:bookmarkStart w:id="32" w:name="_GoBack"/>
      <w:bookmarkEnd w:id="32"/>
    </w:p>
    <w:p w:rsidR="00F67137" w:rsidRPr="00F67137" w:rsidRDefault="00F67137" w:rsidP="00F67137">
      <w:pPr>
        <w:pStyle w:val="Ttulo3"/>
        <w:ind w:firstLine="708"/>
        <w:rPr>
          <w:sz w:val="28"/>
        </w:rPr>
      </w:pPr>
      <w:r w:rsidRPr="00F67137">
        <w:rPr>
          <w:sz w:val="28"/>
        </w:rPr>
        <w:t>Calculo de autonomia entre os modos de operação</w:t>
      </w:r>
    </w:p>
    <w:p w:rsidR="00F67137" w:rsidRDefault="00F67137" w:rsidP="00F67137">
      <w:pPr>
        <w:jc w:val="both"/>
        <w:outlineLvl w:val="0"/>
      </w:pPr>
    </w:p>
    <w:p w:rsidR="00F67137" w:rsidRPr="00F67137" w:rsidRDefault="00F67137" w:rsidP="00F67137">
      <w:pPr>
        <w:jc w:val="both"/>
        <w:outlineLvl w:val="0"/>
      </w:pPr>
    </w:p>
    <w:p w:rsidR="00F67137" w:rsidRDefault="00F67137" w:rsidP="00F67137">
      <w:pPr>
        <w:pStyle w:val="Ttulo2"/>
        <w:ind w:firstLine="708"/>
        <w:rPr>
          <w:sz w:val="28"/>
        </w:rPr>
      </w:pPr>
      <w:bookmarkStart w:id="33" w:name="_Toc517389961"/>
    </w:p>
    <w:p w:rsidR="00A404A1" w:rsidRPr="00F67137" w:rsidRDefault="00A404A1" w:rsidP="00F67137">
      <w:pPr>
        <w:pStyle w:val="Ttulo2"/>
        <w:rPr>
          <w:sz w:val="28"/>
        </w:rPr>
      </w:pPr>
      <w:r w:rsidRPr="00F67137">
        <w:rPr>
          <w:sz w:val="28"/>
        </w:rPr>
        <w:t>Resultado final – Modelo de bateria</w:t>
      </w:r>
      <w:bookmarkEnd w:id="33"/>
    </w:p>
    <w:p w:rsidR="006645DA" w:rsidRDefault="006645DA" w:rsidP="00A404A1">
      <w:pPr>
        <w:pStyle w:val="Ttulo2"/>
        <w:rPr>
          <w:sz w:val="28"/>
        </w:rPr>
      </w:pPr>
    </w:p>
    <w:p w:rsidR="00EC7F53" w:rsidRDefault="00EC7F53" w:rsidP="00EC7F53"/>
    <w:p w:rsidR="00F67137" w:rsidRDefault="00F67137" w:rsidP="00EC7F53"/>
    <w:p w:rsidR="00EC7F53" w:rsidRPr="00EC7F53" w:rsidRDefault="00EC7F53" w:rsidP="00EC7F53"/>
    <w:p w:rsidR="00CA7823" w:rsidRDefault="00CA7823" w:rsidP="00A404A1">
      <w:pPr>
        <w:pStyle w:val="Ttulo2"/>
        <w:rPr>
          <w:sz w:val="28"/>
        </w:rPr>
      </w:pPr>
      <w:bookmarkStart w:id="34" w:name="_Toc517389962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4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7389963"/>
      <w:r w:rsidRPr="00D95E73">
        <w:rPr>
          <w:b/>
          <w:sz w:val="28"/>
        </w:rPr>
        <w:t>Julho</w:t>
      </w:r>
      <w:bookmarkEnd w:id="35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7389964"/>
      <w:r w:rsidRPr="00D95E73">
        <w:rPr>
          <w:b/>
          <w:sz w:val="28"/>
        </w:rPr>
        <w:t>Agosto</w:t>
      </w:r>
      <w:bookmarkEnd w:id="36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7389965"/>
      <w:r w:rsidRPr="00D95E73">
        <w:rPr>
          <w:b/>
          <w:sz w:val="28"/>
        </w:rPr>
        <w:t>Setembro</w:t>
      </w:r>
      <w:bookmarkEnd w:id="37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7389966"/>
      <w:r w:rsidRPr="00D95E73">
        <w:rPr>
          <w:b/>
          <w:sz w:val="28"/>
        </w:rPr>
        <w:t>Outubro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9" w:name="_Toc517389967"/>
      <w:r w:rsidRPr="00D95E73">
        <w:rPr>
          <w:b/>
          <w:sz w:val="28"/>
        </w:rPr>
        <w:t>Novembro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7389968"/>
      <w:r w:rsidRPr="00D95E73">
        <w:rPr>
          <w:b/>
          <w:sz w:val="28"/>
        </w:rPr>
        <w:t>Dezembro</w:t>
      </w:r>
      <w:bookmarkEnd w:id="40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lastRenderedPageBreak/>
        <w:t xml:space="preserve"> </w:t>
      </w:r>
      <w:bookmarkStart w:id="41" w:name="_Toc517389969"/>
      <w:r w:rsidRPr="00D95E73">
        <w:rPr>
          <w:b/>
          <w:sz w:val="28"/>
        </w:rPr>
        <w:t>Janeiro</w:t>
      </w:r>
      <w:bookmarkEnd w:id="41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2" w:name="_Toc517389970"/>
      <w:r w:rsidRPr="00D95E73">
        <w:rPr>
          <w:b/>
          <w:sz w:val="28"/>
        </w:rPr>
        <w:t>Fevereiro</w:t>
      </w:r>
      <w:bookmarkEnd w:id="42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3" w:name="_Toc517389971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3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4" w:name="modelo_1"/>
            <w:r w:rsidR="00EF0B7F" w:rsidRPr="00D95E73">
              <w:t>1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2"/>
            <w:r w:rsidR="00EF0B7F" w:rsidRPr="00D95E73">
              <w:t>2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6" w:name="modelo_3"/>
            <w:r w:rsidRPr="00D95E73">
              <w:t>3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4"/>
            <w:r w:rsidRPr="00D95E73">
              <w:t>4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5"/>
            <w:r w:rsidRPr="00D95E73">
              <w:t>5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9" w:name="modelo_6"/>
            <w:r w:rsidRPr="00D95E73">
              <w:t>6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0" w:name="modelo_7"/>
            <w:r w:rsidRPr="00D95E73">
              <w:t>7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1" w:name="modelo_8"/>
            <w:r w:rsidRPr="00D95E73">
              <w:t>8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2" w:name="modelo_9"/>
            <w:r w:rsidRPr="00D95E73">
              <w:t>9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0"/>
            <w:r w:rsidRPr="00D95E73">
              <w:t>10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1"/>
            <w:r w:rsidRPr="00D95E73">
              <w:t>11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5" w:name="modelo_12"/>
            <w:r w:rsidRPr="00D95E73">
              <w:t>12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6" w:name="modelo_13"/>
            <w:r>
              <w:t>13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7" w:name="modelo_14"/>
            <w:r w:rsidR="009D7168">
              <w:t>1</w:t>
            </w:r>
            <w:r w:rsidR="00CF42A7">
              <w:t>4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5"/>
            <w:r>
              <w:t>15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9" w:name="modelo_16_2"/>
            <w:r>
              <w:t>16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esquemático_wemos_D1_mini"/>
            <w:r>
              <w:t>17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1" w:name="datasheet_ME6211"/>
            <w:r>
              <w:t>18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2" w:name="modelo_17"/>
            <w:r>
              <w:t>19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3" w:name="datasheet_ESP8266"/>
            <w:r>
              <w:t>20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poly"/>
            <w:r>
              <w:t>21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cyli"/>
            <w:r>
              <w:t>22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6" w:name="minamoto_lipo"/>
            <w:r>
              <w:t>23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B9D" w:rsidRDefault="006A6B9D" w:rsidP="00933DE6">
      <w:pPr>
        <w:spacing w:after="0" w:line="240" w:lineRule="auto"/>
      </w:pPr>
      <w:r>
        <w:separator/>
      </w:r>
    </w:p>
  </w:endnote>
  <w:endnote w:type="continuationSeparator" w:id="0">
    <w:p w:rsidR="006A6B9D" w:rsidRDefault="006A6B9D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380F0E" w:rsidRDefault="00380F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13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80F0E" w:rsidRDefault="00380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B9D" w:rsidRDefault="006A6B9D" w:rsidP="00933DE6">
      <w:pPr>
        <w:spacing w:after="0" w:line="240" w:lineRule="auto"/>
      </w:pPr>
      <w:r>
        <w:separator/>
      </w:r>
    </w:p>
  </w:footnote>
  <w:footnote w:type="continuationSeparator" w:id="0">
    <w:p w:rsidR="006A6B9D" w:rsidRDefault="006A6B9D" w:rsidP="00933DE6">
      <w:pPr>
        <w:spacing w:after="0" w:line="240" w:lineRule="auto"/>
      </w:pPr>
      <w:r>
        <w:continuationSeparator/>
      </w:r>
    </w:p>
  </w:footnote>
  <w:footnote w:id="1">
    <w:p w:rsidR="00380F0E" w:rsidRDefault="00380F0E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380F0E" w:rsidRDefault="00380F0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380F0E" w:rsidRDefault="00380F0E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380F0E" w:rsidRDefault="00380F0E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20058"/>
    <w:rsid w:val="00021DC9"/>
    <w:rsid w:val="00031791"/>
    <w:rsid w:val="0003503D"/>
    <w:rsid w:val="0004192A"/>
    <w:rsid w:val="00072B6B"/>
    <w:rsid w:val="0009501F"/>
    <w:rsid w:val="00096F87"/>
    <w:rsid w:val="000A1E8D"/>
    <w:rsid w:val="000A2240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1C5C50"/>
    <w:rsid w:val="00200FAE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6689D"/>
    <w:rsid w:val="00281A15"/>
    <w:rsid w:val="00283257"/>
    <w:rsid w:val="002862FB"/>
    <w:rsid w:val="00292EBE"/>
    <w:rsid w:val="00296563"/>
    <w:rsid w:val="00297276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80F0E"/>
    <w:rsid w:val="003A3ACE"/>
    <w:rsid w:val="003B1F5A"/>
    <w:rsid w:val="003B5DEC"/>
    <w:rsid w:val="003C30F9"/>
    <w:rsid w:val="003C7CC1"/>
    <w:rsid w:val="003D6EBB"/>
    <w:rsid w:val="00405090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75DEB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4037"/>
    <w:rsid w:val="009D7168"/>
    <w:rsid w:val="009E0692"/>
    <w:rsid w:val="009F0738"/>
    <w:rsid w:val="00A06B7E"/>
    <w:rsid w:val="00A12E71"/>
    <w:rsid w:val="00A14271"/>
    <w:rsid w:val="00A17B48"/>
    <w:rsid w:val="00A233B3"/>
    <w:rsid w:val="00A26658"/>
    <w:rsid w:val="00A404A1"/>
    <w:rsid w:val="00A41F45"/>
    <w:rsid w:val="00A435CC"/>
    <w:rsid w:val="00A4495A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0FC7"/>
    <w:rsid w:val="00B436EF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0C87"/>
    <w:rsid w:val="00B94321"/>
    <w:rsid w:val="00BA1A04"/>
    <w:rsid w:val="00BB1E3D"/>
    <w:rsid w:val="00BB35F9"/>
    <w:rsid w:val="00BB7212"/>
    <w:rsid w:val="00BC1D24"/>
    <w:rsid w:val="00BC24D3"/>
    <w:rsid w:val="00BC45FA"/>
    <w:rsid w:val="00BC5A94"/>
    <w:rsid w:val="00BD4C24"/>
    <w:rsid w:val="00BF2DD7"/>
    <w:rsid w:val="00BF4167"/>
    <w:rsid w:val="00C05D8D"/>
    <w:rsid w:val="00C109A8"/>
    <w:rsid w:val="00C1404B"/>
    <w:rsid w:val="00C14D62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07B6E"/>
    <w:rsid w:val="00E1491A"/>
    <w:rsid w:val="00E2239E"/>
    <w:rsid w:val="00E22B62"/>
    <w:rsid w:val="00E236EE"/>
    <w:rsid w:val="00E24EB2"/>
    <w:rsid w:val="00E279BA"/>
    <w:rsid w:val="00E331A7"/>
    <w:rsid w:val="00E351A5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C7F53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3013"/>
    <w:rsid w:val="00F374B7"/>
    <w:rsid w:val="00F42DE7"/>
    <w:rsid w:val="00F62BB2"/>
    <w:rsid w:val="00F63DFF"/>
    <w:rsid w:val="00F64B92"/>
    <w:rsid w:val="00F67137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5DF67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8FF3-1F41-40AF-8754-813F12D8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13</Pages>
  <Words>4277</Words>
  <Characters>23101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76</cp:revision>
  <cp:lastPrinted>2018-06-22T03:07:00Z</cp:lastPrinted>
  <dcterms:created xsi:type="dcterms:W3CDTF">2018-05-25T18:49:00Z</dcterms:created>
  <dcterms:modified xsi:type="dcterms:W3CDTF">2018-06-22T03:43:00Z</dcterms:modified>
</cp:coreProperties>
</file>