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02AE4" w14:textId="77777777" w:rsidR="00C71160" w:rsidRDefault="00C71160" w:rsidP="00A528DB">
      <w:pPr>
        <w:pStyle w:val="Heading2"/>
        <w:spacing w:after="0" w:afterAutospacing="0"/>
        <w:jc w:val="both"/>
        <w:rPr>
          <w:color w:val="1F1F1F"/>
        </w:rPr>
      </w:pPr>
      <w:r>
        <w:rPr>
          <w:color w:val="1F1F1F"/>
          <w:bdr w:val="none" w:sz="0" w:space="0" w:color="auto" w:frame="1"/>
        </w:rPr>
        <w:t>CASE STUDY: Geospatial Surveillance of Antimicrobial Resistance</w:t>
      </w:r>
    </w:p>
    <w:p w14:paraId="5F5A310C" w14:textId="77777777" w:rsidR="00C71160" w:rsidRDefault="00C71160" w:rsidP="00A528DB">
      <w:pPr>
        <w:pStyle w:val="Heading3"/>
        <w:spacing w:after="0" w:afterAutospacing="0"/>
        <w:jc w:val="both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Evaluating Pathogen Persistence Across Critical Abattoir Reservoirs in Osun State</w:t>
      </w:r>
    </w:p>
    <w:p w14:paraId="2218951B" w14:textId="42476CE1" w:rsidR="00C71160" w:rsidRDefault="00C71160" w:rsidP="00A528DB">
      <w:pPr>
        <w:spacing w:after="120"/>
        <w:jc w:val="both"/>
        <w:rPr>
          <w:color w:val="1F1F1F"/>
        </w:rPr>
      </w:pPr>
    </w:p>
    <w:p w14:paraId="241CF2A5" w14:textId="77777777" w:rsidR="00C71160" w:rsidRDefault="00C71160" w:rsidP="00A528DB">
      <w:pPr>
        <w:pStyle w:val="Heading3"/>
        <w:spacing w:after="0" w:afterAutospacing="0"/>
        <w:jc w:val="both"/>
        <w:rPr>
          <w:color w:val="1F1F1F"/>
        </w:rPr>
      </w:pPr>
      <w:r>
        <w:rPr>
          <w:color w:val="1F1F1F"/>
          <w:bdr w:val="none" w:sz="0" w:space="0" w:color="auto" w:frame="1"/>
        </w:rPr>
        <w:t>Executive Summary</w:t>
      </w:r>
    </w:p>
    <w:p w14:paraId="05956283" w14:textId="7C8F5011" w:rsidR="00C71160" w:rsidRDefault="00C71160" w:rsidP="00A528DB">
      <w:pPr>
        <w:pStyle w:val="NormalWeb"/>
        <w:spacing w:after="0" w:afterAutospacing="0"/>
        <w:jc w:val="both"/>
        <w:rPr>
          <w:color w:val="1F1F1F"/>
        </w:rPr>
      </w:pPr>
      <w:r>
        <w:rPr>
          <w:color w:val="1F1F1F"/>
        </w:rPr>
        <w:t xml:space="preserve">Antimicrobial Resistance (AMR) is the "Silent Pandemic" of the 21st century. This study utilizes advanced geospatial mapping and data analytics to track the prevalence of resistant bacterial </w:t>
      </w:r>
      <w:r w:rsidR="006B45AB">
        <w:rPr>
          <w:color w:val="1F1F1F"/>
          <w:lang w:val="en-US"/>
        </w:rPr>
        <w:t>isolates</w:t>
      </w:r>
      <w:r>
        <w:rPr>
          <w:color w:val="1F1F1F"/>
        </w:rPr>
        <w:t xml:space="preserve"> across four key municipalities in Osun State: </w:t>
      </w:r>
      <w:r w:rsidRPr="004D1B99">
        <w:rPr>
          <w:bCs/>
          <w:color w:val="1F1F1F"/>
          <w:bdr w:val="none" w:sz="0" w:space="0" w:color="auto" w:frame="1"/>
        </w:rPr>
        <w:t xml:space="preserve">Ede, Ife, Iwo, and </w:t>
      </w:r>
      <w:proofErr w:type="spellStart"/>
      <w:r w:rsidRPr="004D1B99">
        <w:rPr>
          <w:bCs/>
          <w:color w:val="1F1F1F"/>
          <w:bdr w:val="none" w:sz="0" w:space="0" w:color="auto" w:frame="1"/>
        </w:rPr>
        <w:t>Osu</w:t>
      </w:r>
      <w:proofErr w:type="spellEnd"/>
      <w:r>
        <w:rPr>
          <w:color w:val="1F1F1F"/>
        </w:rPr>
        <w:t xml:space="preserve">. By </w:t>
      </w:r>
      <w:proofErr w:type="spellStart"/>
      <w:r>
        <w:rPr>
          <w:color w:val="1F1F1F"/>
        </w:rPr>
        <w:t>analyzing</w:t>
      </w:r>
      <w:proofErr w:type="spellEnd"/>
      <w:r>
        <w:rPr>
          <w:color w:val="1F1F1F"/>
        </w:rPr>
        <w:t xml:space="preserve"> </w:t>
      </w:r>
      <w:r w:rsidRPr="004D1B99">
        <w:rPr>
          <w:bCs/>
          <w:color w:val="1F1F1F"/>
          <w:bdr w:val="none" w:sz="0" w:space="0" w:color="auto" w:frame="1"/>
        </w:rPr>
        <w:t>274 bacterial isolates</w:t>
      </w:r>
      <w:r>
        <w:rPr>
          <w:color w:val="1F1F1F"/>
        </w:rPr>
        <w:t xml:space="preserve"> from abattoir environments, the study identifies critical Superbug hotspots and high-risk environmental reservoirs, providing a data-driven roadmap for public health intervention.</w:t>
      </w:r>
    </w:p>
    <w:p w14:paraId="4EF0E267" w14:textId="4928C6E9" w:rsidR="00C71160" w:rsidRDefault="00C71160" w:rsidP="00A528DB">
      <w:pPr>
        <w:spacing w:after="120"/>
        <w:jc w:val="both"/>
        <w:rPr>
          <w:color w:val="1F1F1F"/>
        </w:rPr>
      </w:pPr>
    </w:p>
    <w:p w14:paraId="0A2A66B5" w14:textId="77777777" w:rsidR="00C71160" w:rsidRDefault="00C71160" w:rsidP="00A528DB">
      <w:pPr>
        <w:pStyle w:val="Heading3"/>
        <w:spacing w:after="0" w:afterAutospacing="0"/>
        <w:jc w:val="both"/>
        <w:rPr>
          <w:color w:val="1F1F1F"/>
        </w:rPr>
      </w:pPr>
      <w:r>
        <w:rPr>
          <w:color w:val="1F1F1F"/>
          <w:bdr w:val="none" w:sz="0" w:space="0" w:color="auto" w:frame="1"/>
        </w:rPr>
        <w:t>The Data Evolution: From Raw Columns to Deep Insights</w:t>
      </w:r>
    </w:p>
    <w:p w14:paraId="17B2E6B4" w14:textId="77777777" w:rsidR="00C71160" w:rsidRPr="00C71160" w:rsidRDefault="00C71160" w:rsidP="00A528DB">
      <w:pPr>
        <w:pStyle w:val="NormalWeb"/>
        <w:spacing w:after="0" w:afterAutospacing="0"/>
        <w:jc w:val="both"/>
        <w:rPr>
          <w:color w:val="1F1F1F"/>
        </w:rPr>
      </w:pPr>
      <w:r>
        <w:rPr>
          <w:color w:val="1F1F1F"/>
        </w:rPr>
        <w:t xml:space="preserve">The project transformed a modest dataset of 6 core columns (Town, Sample Source, and raw antibiotic test values) into a sophisticated analytical framework featuring over </w:t>
      </w:r>
      <w:r w:rsidRPr="00C71160">
        <w:rPr>
          <w:bCs/>
          <w:color w:val="1F1F1F"/>
          <w:bdr w:val="none" w:sz="0" w:space="0" w:color="auto" w:frame="1"/>
        </w:rPr>
        <w:t>15 strategic metrics</w:t>
      </w:r>
      <w:r w:rsidRPr="00C71160">
        <w:rPr>
          <w:color w:val="1F1F1F"/>
        </w:rPr>
        <w:t>:</w:t>
      </w:r>
    </w:p>
    <w:p w14:paraId="45493CAA" w14:textId="25C239CA" w:rsidR="00C71160" w:rsidRDefault="00C71160" w:rsidP="00A528DB">
      <w:pPr>
        <w:pStyle w:val="NormalWeb"/>
        <w:numPr>
          <w:ilvl w:val="0"/>
          <w:numId w:val="14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CLSI Standardization:</w:t>
      </w:r>
      <w:r>
        <w:rPr>
          <w:color w:val="1F1F1F"/>
        </w:rPr>
        <w:t xml:space="preserve"> Raw inhibition zone measurements (</w:t>
      </w:r>
      <w:r>
        <w:rPr>
          <w:rStyle w:val="math-inline"/>
          <w:color w:val="1F1F1F"/>
          <w:bdr w:val="none" w:sz="0" w:space="0" w:color="auto" w:frame="1"/>
        </w:rPr>
        <w:t>mm</w:t>
      </w:r>
      <w:r>
        <w:rPr>
          <w:color w:val="1F1F1F"/>
        </w:rPr>
        <w:t xml:space="preserve">) were categorized into </w:t>
      </w:r>
      <w:r w:rsidRPr="004D1B99">
        <w:rPr>
          <w:bCs/>
          <w:color w:val="1F1F1F"/>
          <w:bdr w:val="none" w:sz="0" w:space="0" w:color="auto" w:frame="1"/>
        </w:rPr>
        <w:t>Sensitive</w:t>
      </w:r>
      <w:r>
        <w:rPr>
          <w:color w:val="1F1F1F"/>
        </w:rPr>
        <w:t xml:space="preserve">, </w:t>
      </w:r>
      <w:r w:rsidRPr="004D1B99">
        <w:rPr>
          <w:bCs/>
          <w:color w:val="1F1F1F"/>
          <w:bdr w:val="none" w:sz="0" w:space="0" w:color="auto" w:frame="1"/>
        </w:rPr>
        <w:t>Intermediate</w:t>
      </w:r>
      <w:r>
        <w:rPr>
          <w:color w:val="1F1F1F"/>
        </w:rPr>
        <w:t xml:space="preserve">, and </w:t>
      </w:r>
      <w:r w:rsidRPr="004D1B99">
        <w:rPr>
          <w:bCs/>
          <w:color w:val="1F1F1F"/>
          <w:bdr w:val="none" w:sz="0" w:space="0" w:color="auto" w:frame="1"/>
        </w:rPr>
        <w:t>Resistant</w:t>
      </w:r>
      <w:r>
        <w:rPr>
          <w:color w:val="1F1F1F"/>
        </w:rPr>
        <w:t xml:space="preserve"> following the </w:t>
      </w:r>
      <w:r>
        <w:rPr>
          <w:i/>
          <w:iCs/>
          <w:color w:val="1F1F1F"/>
          <w:bdr w:val="none" w:sz="0" w:space="0" w:color="auto" w:frame="1"/>
        </w:rPr>
        <w:t>Clinical and Laboratory Standards Institute</w:t>
      </w:r>
      <w:r>
        <w:rPr>
          <w:color w:val="1F1F1F"/>
        </w:rPr>
        <w:t xml:space="preserve"> guidelines.</w:t>
      </w:r>
    </w:p>
    <w:p w14:paraId="25A92538" w14:textId="29DB1B4E" w:rsidR="00C71160" w:rsidRDefault="00C71160" w:rsidP="00A528DB">
      <w:pPr>
        <w:pStyle w:val="NormalWeb"/>
        <w:numPr>
          <w:ilvl w:val="0"/>
          <w:numId w:val="14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Environmental Danger Index:</w:t>
      </w:r>
      <w:r>
        <w:rPr>
          <w:color w:val="1F1F1F"/>
        </w:rPr>
        <w:t xml:space="preserve"> A weighted </w:t>
      </w:r>
      <w:r w:rsidRPr="004D1B99">
        <w:rPr>
          <w:bCs/>
          <w:color w:val="1F1F1F"/>
          <w:bdr w:val="none" w:sz="0" w:space="0" w:color="auto" w:frame="1"/>
        </w:rPr>
        <w:t>"Risk Score"</w:t>
      </w:r>
      <w:r>
        <w:rPr>
          <w:color w:val="1F1F1F"/>
        </w:rPr>
        <w:t xml:space="preserve"> was developed to quantify the danger level of specific locations and surfaces.</w:t>
      </w:r>
    </w:p>
    <w:p w14:paraId="55B35308" w14:textId="77777777" w:rsidR="00C71160" w:rsidRDefault="00C71160" w:rsidP="00A528DB">
      <w:pPr>
        <w:pStyle w:val="NormalWeb"/>
        <w:spacing w:after="0" w:afterAutospacing="0"/>
        <w:jc w:val="both"/>
        <w:rPr>
          <w:color w:val="1F1F1F"/>
        </w:rPr>
      </w:pPr>
    </w:p>
    <w:p w14:paraId="6505988D" w14:textId="77777777" w:rsidR="00C71160" w:rsidRPr="00C71160" w:rsidRDefault="00C71160" w:rsidP="00A528DB">
      <w:pPr>
        <w:pStyle w:val="Heading3"/>
        <w:jc w:val="both"/>
      </w:pPr>
      <w:r w:rsidRPr="00C71160">
        <w:rPr>
          <w:bdr w:val="none" w:sz="0" w:space="0" w:color="auto" w:frame="1"/>
        </w:rPr>
        <w:t>Resistance Classification (Phenotypes)</w:t>
      </w:r>
    </w:p>
    <w:p w14:paraId="22BA56CE" w14:textId="77777777" w:rsidR="00C71160" w:rsidRDefault="00C71160" w:rsidP="00A528DB">
      <w:pPr>
        <w:pStyle w:val="NormalWeb"/>
        <w:spacing w:after="150" w:afterAutospacing="0"/>
        <w:jc w:val="both"/>
        <w:rPr>
          <w:color w:val="1F1F1F"/>
        </w:rPr>
      </w:pPr>
      <w:r>
        <w:rPr>
          <w:color w:val="1F1F1F"/>
        </w:rPr>
        <w:t>To categorize the severity of the threat, the analysis identified specific resistance profiles:</w:t>
      </w:r>
    </w:p>
    <w:p w14:paraId="61A0E0CB" w14:textId="08A0ED53" w:rsidR="00C71160" w:rsidRDefault="00C71160" w:rsidP="00A528DB">
      <w:pPr>
        <w:pStyle w:val="NormalWeb"/>
        <w:numPr>
          <w:ilvl w:val="0"/>
          <w:numId w:val="15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MDR (Multi-Drug Resistant):</w:t>
      </w:r>
      <w:r>
        <w:rPr>
          <w:color w:val="1F1F1F"/>
        </w:rPr>
        <w:t xml:space="preserve"> Resistant to </w:t>
      </w:r>
      <w:r w:rsidRPr="00C71160">
        <w:rPr>
          <w:color w:val="1F1F1F"/>
        </w:rPr>
        <w:t>≥</w:t>
      </w:r>
      <w:r>
        <w:rPr>
          <w:color w:val="1F1F1F"/>
          <w:lang w:val="en-US"/>
        </w:rPr>
        <w:t xml:space="preserve"> </w:t>
      </w:r>
      <w:r>
        <w:rPr>
          <w:color w:val="1F1F1F"/>
        </w:rPr>
        <w:t>antibiotic classes.</w:t>
      </w:r>
    </w:p>
    <w:p w14:paraId="73DCC248" w14:textId="77777777" w:rsidR="00C71160" w:rsidRDefault="00C71160" w:rsidP="00A528DB">
      <w:pPr>
        <w:pStyle w:val="NormalWeb"/>
        <w:numPr>
          <w:ilvl w:val="0"/>
          <w:numId w:val="15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XDR (Extensively Drug-Resistant):</w:t>
      </w:r>
      <w:r>
        <w:rPr>
          <w:color w:val="1F1F1F"/>
        </w:rPr>
        <w:t xml:space="preserve"> Resistant to 4 out of 5 tested antibiotics.</w:t>
      </w:r>
    </w:p>
    <w:p w14:paraId="7055D805" w14:textId="68FD8911" w:rsidR="00A528DB" w:rsidRPr="00A528DB" w:rsidRDefault="00C71160" w:rsidP="00A528DB">
      <w:pPr>
        <w:pStyle w:val="NormalWeb"/>
        <w:numPr>
          <w:ilvl w:val="0"/>
          <w:numId w:val="15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XDR* (The "Superbug"):</w:t>
      </w:r>
      <w:r>
        <w:rPr>
          <w:color w:val="1F1F1F"/>
        </w:rPr>
        <w:t xml:space="preserve"> Resistant to </w:t>
      </w:r>
      <w:r w:rsidRPr="004D1B99">
        <w:rPr>
          <w:bCs/>
          <w:color w:val="1F1F1F"/>
          <w:bdr w:val="none" w:sz="0" w:space="0" w:color="auto" w:frame="1"/>
        </w:rPr>
        <w:t>all 5</w:t>
      </w:r>
      <w:r>
        <w:rPr>
          <w:color w:val="1F1F1F"/>
        </w:rPr>
        <w:t xml:space="preserve"> tested antibiotics across all classes</w:t>
      </w:r>
      <w:r w:rsidR="006B45AB">
        <w:rPr>
          <w:color w:val="1F1F1F"/>
          <w:lang w:val="en-US"/>
        </w:rPr>
        <w:t xml:space="preserve">, </w:t>
      </w:r>
      <w:r>
        <w:rPr>
          <w:color w:val="1F1F1F"/>
        </w:rPr>
        <w:t>representing the highest clinical threat.</w:t>
      </w:r>
    </w:p>
    <w:p w14:paraId="6CAA8522" w14:textId="0455F2F2" w:rsidR="00C71160" w:rsidRDefault="00C71160" w:rsidP="00A528DB">
      <w:pPr>
        <w:pStyle w:val="Heading3"/>
        <w:spacing w:after="0" w:afterAutospacing="0"/>
        <w:jc w:val="both"/>
        <w:rPr>
          <w:color w:val="1F1F1F"/>
        </w:rPr>
      </w:pPr>
      <w:r>
        <w:rPr>
          <w:color w:val="1F1F1F"/>
          <w:bdr w:val="none" w:sz="0" w:space="0" w:color="auto" w:frame="1"/>
        </w:rPr>
        <w:t>Antibiotics &amp; Classes</w:t>
      </w:r>
    </w:p>
    <w:p w14:paraId="64C2583E" w14:textId="77777777" w:rsidR="00C71160" w:rsidRDefault="00C71160" w:rsidP="00A528DB">
      <w:pPr>
        <w:pStyle w:val="NormalWeb"/>
        <w:spacing w:after="150" w:afterAutospacing="0"/>
        <w:jc w:val="both"/>
        <w:rPr>
          <w:color w:val="1F1F1F"/>
        </w:rPr>
      </w:pPr>
      <w:r>
        <w:rPr>
          <w:color w:val="1F1F1F"/>
        </w:rPr>
        <w:t>Isolates were tested against a panel of five antibiotics spanning critical drug classes:</w:t>
      </w:r>
    </w:p>
    <w:p w14:paraId="0EC03C23" w14:textId="77777777" w:rsidR="00C71160" w:rsidRDefault="00C71160" w:rsidP="00A528DB">
      <w:pPr>
        <w:pStyle w:val="NormalWeb"/>
        <w:numPr>
          <w:ilvl w:val="0"/>
          <w:numId w:val="16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Imipenem</w:t>
      </w:r>
      <w:r>
        <w:rPr>
          <w:color w:val="1F1F1F"/>
        </w:rPr>
        <w:t xml:space="preserve"> (Carbapenems)</w:t>
      </w:r>
    </w:p>
    <w:p w14:paraId="7FCFB69F" w14:textId="77777777" w:rsidR="00C71160" w:rsidRDefault="00C71160" w:rsidP="00A528DB">
      <w:pPr>
        <w:pStyle w:val="NormalWeb"/>
        <w:numPr>
          <w:ilvl w:val="0"/>
          <w:numId w:val="16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Ceftazidime</w:t>
      </w:r>
      <w:r>
        <w:rPr>
          <w:color w:val="1F1F1F"/>
        </w:rPr>
        <w:t xml:space="preserve"> (Cephalosporins)</w:t>
      </w:r>
    </w:p>
    <w:p w14:paraId="5E9DDC88" w14:textId="77777777" w:rsidR="00C71160" w:rsidRDefault="00C71160" w:rsidP="00A528DB">
      <w:pPr>
        <w:pStyle w:val="NormalWeb"/>
        <w:numPr>
          <w:ilvl w:val="0"/>
          <w:numId w:val="16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Gentamicin</w:t>
      </w:r>
      <w:r>
        <w:rPr>
          <w:color w:val="1F1F1F"/>
        </w:rPr>
        <w:t xml:space="preserve"> (Aminoglycosides)</w:t>
      </w:r>
    </w:p>
    <w:p w14:paraId="69224776" w14:textId="51F326B2" w:rsidR="00C71160" w:rsidRDefault="00C71160" w:rsidP="00A528DB">
      <w:pPr>
        <w:pStyle w:val="NormalWeb"/>
        <w:numPr>
          <w:ilvl w:val="0"/>
          <w:numId w:val="16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Augmentin</w:t>
      </w:r>
      <w:r>
        <w:rPr>
          <w:color w:val="1F1F1F"/>
        </w:rPr>
        <w:t xml:space="preserve"> (</w:t>
      </w:r>
      <w:r>
        <w:rPr>
          <w:rStyle w:val="math-inline"/>
          <w:color w:val="1F1F1F"/>
          <w:bdr w:val="none" w:sz="0" w:space="0" w:color="auto" w:frame="1"/>
        </w:rPr>
        <w:t>beta</w:t>
      </w:r>
      <w:r>
        <w:rPr>
          <w:color w:val="1F1F1F"/>
        </w:rPr>
        <w:t>-lactamase inhibitors)</w:t>
      </w:r>
    </w:p>
    <w:p w14:paraId="631C75F2" w14:textId="77777777" w:rsidR="00C71160" w:rsidRDefault="00C71160" w:rsidP="00A528DB">
      <w:pPr>
        <w:pStyle w:val="NormalWeb"/>
        <w:numPr>
          <w:ilvl w:val="0"/>
          <w:numId w:val="16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Ciprofloxacin</w:t>
      </w:r>
      <w:r>
        <w:rPr>
          <w:color w:val="1F1F1F"/>
        </w:rPr>
        <w:t xml:space="preserve"> (Fluoroquinolones)</w:t>
      </w:r>
    </w:p>
    <w:p w14:paraId="55E5BD53" w14:textId="284D3B2B" w:rsidR="00C71160" w:rsidRDefault="00C71160" w:rsidP="00A528DB">
      <w:pPr>
        <w:spacing w:after="120"/>
        <w:jc w:val="both"/>
        <w:rPr>
          <w:color w:val="1F1F1F"/>
        </w:rPr>
      </w:pPr>
    </w:p>
    <w:p w14:paraId="699CEF05" w14:textId="77777777" w:rsidR="00C71160" w:rsidRDefault="00C71160" w:rsidP="00A528DB">
      <w:pPr>
        <w:pStyle w:val="Heading3"/>
        <w:spacing w:after="0" w:afterAutospacing="0"/>
        <w:jc w:val="both"/>
        <w:rPr>
          <w:color w:val="1F1F1F"/>
        </w:rPr>
      </w:pPr>
      <w:r>
        <w:rPr>
          <w:color w:val="1F1F1F"/>
          <w:bdr w:val="none" w:sz="0" w:space="0" w:color="auto" w:frame="1"/>
        </w:rPr>
        <w:t>Critical Findings &amp; Dashboard Insights</w:t>
      </w:r>
    </w:p>
    <w:p w14:paraId="448A72CD" w14:textId="77777777" w:rsidR="00C71160" w:rsidRDefault="00C71160" w:rsidP="00A528DB">
      <w:pPr>
        <w:pStyle w:val="Heading3"/>
        <w:jc w:val="both"/>
      </w:pPr>
      <w:r>
        <w:rPr>
          <w:bdr w:val="none" w:sz="0" w:space="0" w:color="auto" w:frame="1"/>
        </w:rPr>
        <w:t>1. Overall Prevalence &amp; Risk</w:t>
      </w:r>
    </w:p>
    <w:p w14:paraId="0E62F01A" w14:textId="77777777" w:rsidR="00C71160" w:rsidRDefault="00C71160" w:rsidP="00A528DB">
      <w:pPr>
        <w:pStyle w:val="NormalWeb"/>
        <w:numPr>
          <w:ilvl w:val="0"/>
          <w:numId w:val="17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Baseline Resistance:</w:t>
      </w:r>
      <w:r>
        <w:rPr>
          <w:color w:val="1F1F1F"/>
        </w:rPr>
        <w:t xml:space="preserve"> </w:t>
      </w:r>
      <w:r w:rsidRPr="004D1B99">
        <w:rPr>
          <w:bCs/>
          <w:color w:val="1F1F1F"/>
          <w:bdr w:val="none" w:sz="0" w:space="0" w:color="auto" w:frame="1"/>
        </w:rPr>
        <w:t>40.15%</w:t>
      </w:r>
      <w:r>
        <w:rPr>
          <w:color w:val="1F1F1F"/>
        </w:rPr>
        <w:t xml:space="preserve"> of all samples show resistance, with </w:t>
      </w:r>
      <w:r w:rsidRPr="004D1B99">
        <w:rPr>
          <w:bCs/>
          <w:color w:val="1F1F1F"/>
          <w:bdr w:val="none" w:sz="0" w:space="0" w:color="auto" w:frame="1"/>
        </w:rPr>
        <w:t>27.74%</w:t>
      </w:r>
      <w:r>
        <w:rPr>
          <w:color w:val="1F1F1F"/>
        </w:rPr>
        <w:t xml:space="preserve"> already classified as </w:t>
      </w:r>
      <w:r>
        <w:rPr>
          <w:b/>
          <w:bCs/>
          <w:color w:val="1F1F1F"/>
          <w:bdr w:val="none" w:sz="0" w:space="0" w:color="auto" w:frame="1"/>
        </w:rPr>
        <w:t>MDR</w:t>
      </w:r>
      <w:r>
        <w:rPr>
          <w:color w:val="1F1F1F"/>
        </w:rPr>
        <w:t>.</w:t>
      </w:r>
    </w:p>
    <w:p w14:paraId="04A1CFD2" w14:textId="77777777" w:rsidR="00C71160" w:rsidRDefault="00C71160" w:rsidP="00A528DB">
      <w:pPr>
        <w:pStyle w:val="NormalWeb"/>
        <w:numPr>
          <w:ilvl w:val="0"/>
          <w:numId w:val="17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Treatability:</w:t>
      </w:r>
      <w:r>
        <w:rPr>
          <w:color w:val="1F1F1F"/>
        </w:rPr>
        <w:t xml:space="preserve"> Only </w:t>
      </w:r>
      <w:r w:rsidRPr="004D1B99">
        <w:rPr>
          <w:bCs/>
          <w:color w:val="1F1F1F"/>
          <w:bdr w:val="none" w:sz="0" w:space="0" w:color="auto" w:frame="1"/>
        </w:rPr>
        <w:t>59.85%</w:t>
      </w:r>
      <w:r>
        <w:rPr>
          <w:color w:val="1F1F1F"/>
        </w:rPr>
        <w:t xml:space="preserve"> of isolates remain fully susceptible to the tested antibiotics.</w:t>
      </w:r>
    </w:p>
    <w:p w14:paraId="4EAE4B82" w14:textId="77777777" w:rsidR="00C71160" w:rsidRDefault="00C71160" w:rsidP="00A528DB">
      <w:pPr>
        <w:pStyle w:val="Heading3"/>
        <w:jc w:val="both"/>
      </w:pPr>
      <w:r>
        <w:rPr>
          <w:bdr w:val="none" w:sz="0" w:space="0" w:color="auto" w:frame="1"/>
        </w:rPr>
        <w:t>2. Geographic "</w:t>
      </w:r>
      <w:proofErr w:type="spellStart"/>
      <w:r>
        <w:rPr>
          <w:bdr w:val="none" w:sz="0" w:space="0" w:color="auto" w:frame="1"/>
        </w:rPr>
        <w:t>Epicenters</w:t>
      </w:r>
      <w:proofErr w:type="spellEnd"/>
      <w:r>
        <w:rPr>
          <w:bdr w:val="none" w:sz="0" w:space="0" w:color="auto" w:frame="1"/>
        </w:rPr>
        <w:t>"</w:t>
      </w:r>
    </w:p>
    <w:p w14:paraId="0F93981D" w14:textId="77777777" w:rsidR="00C71160" w:rsidRDefault="00C71160" w:rsidP="00A528DB">
      <w:pPr>
        <w:pStyle w:val="NormalWeb"/>
        <w:numPr>
          <w:ilvl w:val="0"/>
          <w:numId w:val="18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Iwo</w:t>
      </w:r>
      <w:r>
        <w:rPr>
          <w:color w:val="1F1F1F"/>
        </w:rPr>
        <w:t xml:space="preserve"> is the primary hotspot for antibiotic failure, ranking #1 in the Resistance Risk Index.</w:t>
      </w:r>
    </w:p>
    <w:p w14:paraId="2C3F5ADE" w14:textId="77777777" w:rsidR="00C71160" w:rsidRDefault="00C71160" w:rsidP="00A528DB">
      <w:pPr>
        <w:pStyle w:val="NormalWeb"/>
        <w:numPr>
          <w:ilvl w:val="0"/>
          <w:numId w:val="18"/>
        </w:numPr>
        <w:spacing w:after="0" w:afterAutospacing="0"/>
        <w:ind w:left="0"/>
        <w:jc w:val="both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Osu</w:t>
      </w:r>
      <w:proofErr w:type="spellEnd"/>
      <w:r>
        <w:rPr>
          <w:color w:val="1F1F1F"/>
        </w:rPr>
        <w:t xml:space="preserve"> follows closely, showing a staggering </w:t>
      </w:r>
      <w:r w:rsidRPr="00A528DB">
        <w:rPr>
          <w:bCs/>
          <w:color w:val="1F1F1F"/>
          <w:bdr w:val="none" w:sz="0" w:space="0" w:color="auto" w:frame="1"/>
        </w:rPr>
        <w:t>85.5% resistance rate to Ceftazidime</w:t>
      </w:r>
      <w:r>
        <w:rPr>
          <w:color w:val="1F1F1F"/>
        </w:rPr>
        <w:t>, effectively rendering the drug useless in this municipality.</w:t>
      </w:r>
    </w:p>
    <w:p w14:paraId="158DB152" w14:textId="77777777" w:rsidR="00C71160" w:rsidRDefault="00C71160" w:rsidP="00A528DB">
      <w:pPr>
        <w:pStyle w:val="Heading3"/>
        <w:jc w:val="both"/>
      </w:pPr>
      <w:r>
        <w:rPr>
          <w:bdr w:val="none" w:sz="0" w:space="0" w:color="auto" w:frame="1"/>
        </w:rPr>
        <w:t>3. Environmental Reservoirs (The "Red Zones")</w:t>
      </w:r>
    </w:p>
    <w:p w14:paraId="77D852E1" w14:textId="4E1340C3" w:rsidR="00C71160" w:rsidRDefault="00C71160" w:rsidP="00A528DB">
      <w:pPr>
        <w:pStyle w:val="NormalWeb"/>
        <w:numPr>
          <w:ilvl w:val="0"/>
          <w:numId w:val="19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Butcher Tables:</w:t>
      </w:r>
      <w:r>
        <w:rPr>
          <w:color w:val="1F1F1F"/>
        </w:rPr>
        <w:t xml:space="preserve"> Identified as the highest-risk surface (</w:t>
      </w:r>
      <w:r>
        <w:rPr>
          <w:rStyle w:val="math-inline"/>
          <w:color w:val="1F1F1F"/>
          <w:bdr w:val="none" w:sz="0" w:space="0" w:color="auto" w:frame="1"/>
        </w:rPr>
        <w:t>Risk Score: 3.00</w:t>
      </w:r>
      <w:r>
        <w:rPr>
          <w:color w:val="1F1F1F"/>
        </w:rPr>
        <w:t xml:space="preserve"> in Iwo). These porous surfaces act as primary reservoirs for pathogen persistence.</w:t>
      </w:r>
    </w:p>
    <w:p w14:paraId="40F07581" w14:textId="77777777" w:rsidR="00C71160" w:rsidRDefault="00C71160" w:rsidP="00A528DB">
      <w:pPr>
        <w:pStyle w:val="NormalWeb"/>
        <w:numPr>
          <w:ilvl w:val="0"/>
          <w:numId w:val="19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Concrete Slabs:</w:t>
      </w:r>
      <w:r>
        <w:rPr>
          <w:color w:val="1F1F1F"/>
        </w:rPr>
        <w:t xml:space="preserve"> Show high cumulative resistance, particularly for </w:t>
      </w:r>
      <w:r w:rsidRPr="00A528DB">
        <w:rPr>
          <w:bCs/>
          <w:color w:val="1F1F1F"/>
          <w:bdr w:val="none" w:sz="0" w:space="0" w:color="auto" w:frame="1"/>
        </w:rPr>
        <w:t>Augmentin</w:t>
      </w:r>
      <w:r>
        <w:rPr>
          <w:color w:val="1F1F1F"/>
        </w:rPr>
        <w:t>, suggesting these surfaces are inadequately decontaminated.</w:t>
      </w:r>
    </w:p>
    <w:p w14:paraId="63D8A1C4" w14:textId="77777777" w:rsidR="00C71160" w:rsidRDefault="00C71160" w:rsidP="00A528DB">
      <w:pPr>
        <w:pStyle w:val="NormalWeb"/>
        <w:numPr>
          <w:ilvl w:val="0"/>
          <w:numId w:val="19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Surrounding Soil:</w:t>
      </w:r>
      <w:r>
        <w:rPr>
          <w:color w:val="1F1F1F"/>
        </w:rPr>
        <w:t xml:space="preserve"> Acts as a "Warning Zone," with a high volume of </w:t>
      </w:r>
      <w:r w:rsidRPr="00A528DB">
        <w:rPr>
          <w:bCs/>
          <w:color w:val="1F1F1F"/>
          <w:bdr w:val="none" w:sz="0" w:space="0" w:color="auto" w:frame="1"/>
        </w:rPr>
        <w:t>Intermediate</w:t>
      </w:r>
      <w:r>
        <w:rPr>
          <w:color w:val="1F1F1F"/>
        </w:rPr>
        <w:t xml:space="preserve"> results for </w:t>
      </w:r>
      <w:r>
        <w:rPr>
          <w:b/>
          <w:bCs/>
          <w:color w:val="1F1F1F"/>
          <w:bdr w:val="none" w:sz="0" w:space="0" w:color="auto" w:frame="1"/>
        </w:rPr>
        <w:t>Ciprofloxacin</w:t>
      </w:r>
      <w:r>
        <w:rPr>
          <w:color w:val="1F1F1F"/>
        </w:rPr>
        <w:t>, indicating that resistance is leaking into the broader community environment.</w:t>
      </w:r>
    </w:p>
    <w:p w14:paraId="08C2B61F" w14:textId="77777777" w:rsidR="00C71160" w:rsidRDefault="00C71160" w:rsidP="00A528DB">
      <w:pPr>
        <w:pStyle w:val="Heading3"/>
        <w:jc w:val="both"/>
      </w:pPr>
      <w:r>
        <w:rPr>
          <w:bdr w:val="none" w:sz="0" w:space="0" w:color="auto" w:frame="1"/>
        </w:rPr>
        <w:t>4. Antibiotic Performance</w:t>
      </w:r>
    </w:p>
    <w:p w14:paraId="30D1758A" w14:textId="77777777" w:rsidR="00C71160" w:rsidRDefault="00C71160" w:rsidP="00A528DB">
      <w:pPr>
        <w:pStyle w:val="NormalWeb"/>
        <w:numPr>
          <w:ilvl w:val="0"/>
          <w:numId w:val="20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"Last Resort":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Imipenem</w:t>
      </w:r>
      <w:r>
        <w:rPr>
          <w:color w:val="1F1F1F"/>
        </w:rPr>
        <w:t xml:space="preserve"> remains the most reliable option, maintaining high sensitivity rates (up to 80% in Ede).</w:t>
      </w:r>
    </w:p>
    <w:p w14:paraId="6E970466" w14:textId="77777777" w:rsidR="00C71160" w:rsidRDefault="00C71160" w:rsidP="00A528DB">
      <w:pPr>
        <w:pStyle w:val="NormalWeb"/>
        <w:numPr>
          <w:ilvl w:val="0"/>
          <w:numId w:val="20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Total Failure:</w:t>
      </w:r>
      <w:r>
        <w:rPr>
          <w:color w:val="1F1F1F"/>
        </w:rPr>
        <w:t xml:space="preserve"> </w:t>
      </w:r>
      <w:r w:rsidRPr="00A528DB">
        <w:rPr>
          <w:bCs/>
          <w:color w:val="1F1F1F"/>
          <w:bdr w:val="none" w:sz="0" w:space="0" w:color="auto" w:frame="1"/>
        </w:rPr>
        <w:t>Ceftazidime</w:t>
      </w:r>
      <w:r>
        <w:rPr>
          <w:color w:val="1F1F1F"/>
        </w:rPr>
        <w:t xml:space="preserve"> is failing globally across the study area, with resistance consistently exceeding </w:t>
      </w:r>
      <w:r w:rsidRPr="00A528DB">
        <w:rPr>
          <w:bCs/>
          <w:color w:val="1F1F1F"/>
          <w:bdr w:val="none" w:sz="0" w:space="0" w:color="auto" w:frame="1"/>
        </w:rPr>
        <w:t>68%</w:t>
      </w:r>
      <w:r>
        <w:rPr>
          <w:color w:val="1F1F1F"/>
        </w:rPr>
        <w:t>.</w:t>
      </w:r>
    </w:p>
    <w:p w14:paraId="3290B205" w14:textId="7B734F3D" w:rsidR="00C71160" w:rsidRDefault="00C71160" w:rsidP="00A528DB">
      <w:pPr>
        <w:spacing w:after="120"/>
        <w:jc w:val="both"/>
        <w:rPr>
          <w:color w:val="1F1F1F"/>
        </w:rPr>
      </w:pPr>
    </w:p>
    <w:p w14:paraId="740A321F" w14:textId="77777777" w:rsidR="00C71160" w:rsidRDefault="00C71160" w:rsidP="00A528DB">
      <w:pPr>
        <w:pStyle w:val="Heading3"/>
        <w:spacing w:after="0" w:afterAutospacing="0"/>
        <w:jc w:val="both"/>
        <w:rPr>
          <w:color w:val="1F1F1F"/>
        </w:rPr>
      </w:pPr>
      <w:r>
        <w:rPr>
          <w:color w:val="1F1F1F"/>
          <w:bdr w:val="none" w:sz="0" w:space="0" w:color="auto" w:frame="1"/>
        </w:rPr>
        <w:t>The Impending Danger</w:t>
      </w:r>
    </w:p>
    <w:p w14:paraId="7BD1E95D" w14:textId="63171C2E" w:rsidR="00C71160" w:rsidRPr="006B45AB" w:rsidRDefault="00C71160" w:rsidP="006B45AB">
      <w:pPr>
        <w:pStyle w:val="NormalWeb"/>
        <w:spacing w:after="150" w:afterAutospacing="0"/>
        <w:jc w:val="both"/>
      </w:pPr>
      <w:r>
        <w:rPr>
          <w:color w:val="1F1F1F"/>
        </w:rPr>
        <w:t>The analysis reveals that common infections linked to these abattoirs may soon be untreatable with standard frontline drugs</w:t>
      </w:r>
      <w:r w:rsidRPr="006B45AB">
        <w:t xml:space="preserve">. </w:t>
      </w:r>
      <w:r w:rsidR="006B45AB" w:rsidRPr="006B45AB">
        <w:t>Ife and Iwo have the highest "Intermediate" scores. They are the next candidates for a total resistance surge.</w:t>
      </w:r>
    </w:p>
    <w:p w14:paraId="3511635A" w14:textId="771D32DB" w:rsidR="00A528DB" w:rsidRDefault="00A528DB" w:rsidP="00A528DB">
      <w:pPr>
        <w:spacing w:after="120"/>
        <w:jc w:val="both"/>
        <w:rPr>
          <w:color w:val="1F1F1F"/>
        </w:rPr>
      </w:pPr>
    </w:p>
    <w:p w14:paraId="3635007B" w14:textId="509E6778" w:rsidR="00A528DB" w:rsidRDefault="00A528DB" w:rsidP="00A528DB">
      <w:pPr>
        <w:spacing w:after="120"/>
        <w:jc w:val="both"/>
        <w:rPr>
          <w:color w:val="1F1F1F"/>
        </w:rPr>
      </w:pPr>
    </w:p>
    <w:p w14:paraId="67F43DF5" w14:textId="77777777" w:rsidR="00A528DB" w:rsidRDefault="00A528DB" w:rsidP="00A528DB">
      <w:pPr>
        <w:spacing w:after="120"/>
        <w:jc w:val="both"/>
        <w:rPr>
          <w:color w:val="1F1F1F"/>
        </w:rPr>
      </w:pPr>
    </w:p>
    <w:p w14:paraId="4C23FED5" w14:textId="78205686" w:rsidR="00A528DB" w:rsidRDefault="00A528DB" w:rsidP="00A528DB">
      <w:pPr>
        <w:spacing w:after="120"/>
        <w:jc w:val="both"/>
        <w:rPr>
          <w:color w:val="1F1F1F"/>
        </w:rPr>
      </w:pPr>
    </w:p>
    <w:p w14:paraId="0BA4470C" w14:textId="36325114" w:rsidR="006B45AB" w:rsidRDefault="006B45AB" w:rsidP="00A528DB">
      <w:pPr>
        <w:spacing w:after="120"/>
        <w:jc w:val="both"/>
        <w:rPr>
          <w:color w:val="1F1F1F"/>
        </w:rPr>
      </w:pPr>
    </w:p>
    <w:p w14:paraId="435D45BB" w14:textId="77777777" w:rsidR="00CE2F71" w:rsidRDefault="00CE2F71" w:rsidP="00A528DB">
      <w:pPr>
        <w:spacing w:after="120"/>
        <w:jc w:val="both"/>
        <w:rPr>
          <w:color w:val="1F1F1F"/>
        </w:rPr>
      </w:pPr>
    </w:p>
    <w:p w14:paraId="3EF27E6F" w14:textId="77777777" w:rsidR="00C71160" w:rsidRDefault="00C71160" w:rsidP="00A528DB">
      <w:pPr>
        <w:pStyle w:val="Heading3"/>
        <w:spacing w:after="0" w:afterAutospacing="0"/>
        <w:jc w:val="both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Strategic Recommendations</w:t>
      </w:r>
    </w:p>
    <w:p w14:paraId="77E946A8" w14:textId="77777777" w:rsidR="00C71160" w:rsidRDefault="00C71160" w:rsidP="00A528DB">
      <w:pPr>
        <w:pStyle w:val="Heading3"/>
        <w:jc w:val="both"/>
      </w:pPr>
      <w:r>
        <w:rPr>
          <w:bdr w:val="none" w:sz="0" w:space="0" w:color="auto" w:frame="1"/>
        </w:rPr>
        <w:t>I. Infrastructure &amp; Hygiene</w:t>
      </w:r>
    </w:p>
    <w:p w14:paraId="4B488F2B" w14:textId="77777777" w:rsidR="00C71160" w:rsidRDefault="00C71160" w:rsidP="00A528DB">
      <w:pPr>
        <w:pStyle w:val="NormalWeb"/>
        <w:numPr>
          <w:ilvl w:val="0"/>
          <w:numId w:val="21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Material Replacement:</w:t>
      </w:r>
      <w:r>
        <w:rPr>
          <w:color w:val="1F1F1F"/>
        </w:rPr>
        <w:t xml:space="preserve"> Replace porous wooden butcher tables with </w:t>
      </w:r>
      <w:r w:rsidRPr="00A528DB">
        <w:rPr>
          <w:bCs/>
          <w:color w:val="1F1F1F"/>
          <w:bdr w:val="none" w:sz="0" w:space="0" w:color="auto" w:frame="1"/>
        </w:rPr>
        <w:t>non-porous stainless</w:t>
      </w:r>
      <w:r>
        <w:rPr>
          <w:b/>
          <w:bCs/>
          <w:color w:val="1F1F1F"/>
          <w:bdr w:val="none" w:sz="0" w:space="0" w:color="auto" w:frame="1"/>
        </w:rPr>
        <w:t xml:space="preserve"> </w:t>
      </w:r>
      <w:r w:rsidRPr="00A528DB">
        <w:rPr>
          <w:bCs/>
          <w:color w:val="1F1F1F"/>
          <w:bdr w:val="none" w:sz="0" w:space="0" w:color="auto" w:frame="1"/>
        </w:rPr>
        <w:t>steel</w:t>
      </w:r>
      <w:r>
        <w:rPr>
          <w:color w:val="1F1F1F"/>
        </w:rPr>
        <w:t xml:space="preserve"> or food-grade polymers to prevent bacterial biofilm formation.</w:t>
      </w:r>
    </w:p>
    <w:p w14:paraId="39A95371" w14:textId="77777777" w:rsidR="00C71160" w:rsidRDefault="00C71160" w:rsidP="00A528DB">
      <w:pPr>
        <w:pStyle w:val="NormalWeb"/>
        <w:numPr>
          <w:ilvl w:val="0"/>
          <w:numId w:val="21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Targeted Sanitization:</w:t>
      </w:r>
      <w:r>
        <w:rPr>
          <w:color w:val="1F1F1F"/>
        </w:rPr>
        <w:t xml:space="preserve"> Implement rigorous, data-backed disinfection protocols focusing on "Red Zone" surfaces (Tables and Slabs) rather than broad-spectrum cleaning.</w:t>
      </w:r>
    </w:p>
    <w:p w14:paraId="2FF2E254" w14:textId="77777777" w:rsidR="00C71160" w:rsidRDefault="00C71160" w:rsidP="00A528DB">
      <w:pPr>
        <w:pStyle w:val="Heading3"/>
        <w:jc w:val="both"/>
      </w:pPr>
      <w:r>
        <w:rPr>
          <w:bdr w:val="none" w:sz="0" w:space="0" w:color="auto" w:frame="1"/>
        </w:rPr>
        <w:t>II. Policy &amp; Veterinary Intervention</w:t>
      </w:r>
      <w:bookmarkStart w:id="0" w:name="_GoBack"/>
      <w:bookmarkEnd w:id="0"/>
    </w:p>
    <w:p w14:paraId="13E186E9" w14:textId="77777777" w:rsidR="00C71160" w:rsidRDefault="00C71160" w:rsidP="00A528DB">
      <w:pPr>
        <w:pStyle w:val="NormalWeb"/>
        <w:numPr>
          <w:ilvl w:val="0"/>
          <w:numId w:val="22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Antibiotic Stewardship:</w:t>
      </w:r>
      <w:r>
        <w:rPr>
          <w:color w:val="1F1F1F"/>
        </w:rPr>
        <w:t xml:space="preserve"> Restrict the use of </w:t>
      </w:r>
      <w:r w:rsidRPr="00A528DB">
        <w:rPr>
          <w:bCs/>
          <w:color w:val="1F1F1F"/>
          <w:bdr w:val="none" w:sz="0" w:space="0" w:color="auto" w:frame="1"/>
        </w:rPr>
        <w:t>Ceftazidime</w:t>
      </w:r>
      <w:r>
        <w:rPr>
          <w:color w:val="1F1F1F"/>
        </w:rPr>
        <w:t xml:space="preserve"> in local veterinary and agricultural settings to slow the progression of total resistance.</w:t>
      </w:r>
    </w:p>
    <w:p w14:paraId="4E015CAE" w14:textId="77777777" w:rsidR="00C71160" w:rsidRDefault="00C71160" w:rsidP="00A528DB">
      <w:pPr>
        <w:pStyle w:val="NormalWeb"/>
        <w:numPr>
          <w:ilvl w:val="0"/>
          <w:numId w:val="22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Surveillance Expansion:</w:t>
      </w:r>
      <w:r>
        <w:rPr>
          <w:color w:val="1F1F1F"/>
        </w:rPr>
        <w:t xml:space="preserve"> Transition to </w:t>
      </w:r>
      <w:r w:rsidRPr="00A528DB">
        <w:rPr>
          <w:bCs/>
          <w:color w:val="1F1F1F"/>
          <w:bdr w:val="none" w:sz="0" w:space="0" w:color="auto" w:frame="1"/>
        </w:rPr>
        <w:t>genomic sequencing</w:t>
      </w:r>
      <w:r>
        <w:rPr>
          <w:color w:val="1F1F1F"/>
        </w:rPr>
        <w:t xml:space="preserve"> to track the transmission pathways of XDR* "Superbugs" between livestock, abattoir workers, and the surrounding community.</w:t>
      </w:r>
    </w:p>
    <w:p w14:paraId="254D565B" w14:textId="77777777" w:rsidR="00C71160" w:rsidRDefault="00C71160" w:rsidP="00A528DB">
      <w:pPr>
        <w:pStyle w:val="Heading3"/>
        <w:jc w:val="both"/>
      </w:pPr>
      <w:r>
        <w:rPr>
          <w:bdr w:val="none" w:sz="0" w:space="0" w:color="auto" w:frame="1"/>
        </w:rPr>
        <w:t>III. Environmental Management</w:t>
      </w:r>
    </w:p>
    <w:p w14:paraId="22F69E0D" w14:textId="77777777" w:rsidR="00C71160" w:rsidRDefault="00C71160" w:rsidP="00A528DB">
      <w:pPr>
        <w:pStyle w:val="NormalWeb"/>
        <w:numPr>
          <w:ilvl w:val="0"/>
          <w:numId w:val="23"/>
        </w:numPr>
        <w:spacing w:after="0" w:afterAutospacing="0"/>
        <w:ind w:left="0"/>
        <w:jc w:val="both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Effluent Control:</w:t>
      </w:r>
      <w:r>
        <w:rPr>
          <w:color w:val="1F1F1F"/>
        </w:rPr>
        <w:t xml:space="preserve"> Improve drainage systems to prevent the contamination of surrounding soil, which currently serves as a bridge for resistance to spread beyond the abattoir walls.</w:t>
      </w:r>
    </w:p>
    <w:p w14:paraId="6A1A2D04" w14:textId="09850F08" w:rsidR="00C71160" w:rsidRDefault="00C71160" w:rsidP="00A528DB">
      <w:pPr>
        <w:spacing w:after="120"/>
        <w:jc w:val="both"/>
        <w:rPr>
          <w:color w:val="1F1F1F"/>
        </w:rPr>
      </w:pPr>
    </w:p>
    <w:p w14:paraId="3E8C817A" w14:textId="77777777" w:rsidR="000825AA" w:rsidRPr="00C71160" w:rsidRDefault="00CE2F71" w:rsidP="00A528DB">
      <w:pPr>
        <w:jc w:val="both"/>
      </w:pPr>
    </w:p>
    <w:sectPr w:rsidR="000825AA" w:rsidRPr="00C71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67D89"/>
    <w:multiLevelType w:val="multilevel"/>
    <w:tmpl w:val="9B98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6113C"/>
    <w:multiLevelType w:val="multilevel"/>
    <w:tmpl w:val="C0F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56EE"/>
    <w:multiLevelType w:val="multilevel"/>
    <w:tmpl w:val="46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E2AED"/>
    <w:multiLevelType w:val="multilevel"/>
    <w:tmpl w:val="24C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4835"/>
    <w:multiLevelType w:val="multilevel"/>
    <w:tmpl w:val="B89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112A5"/>
    <w:multiLevelType w:val="multilevel"/>
    <w:tmpl w:val="1552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33FE"/>
    <w:multiLevelType w:val="multilevel"/>
    <w:tmpl w:val="8CB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87C7D"/>
    <w:multiLevelType w:val="multilevel"/>
    <w:tmpl w:val="23E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C07C9"/>
    <w:multiLevelType w:val="multilevel"/>
    <w:tmpl w:val="B8B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D1E76"/>
    <w:multiLevelType w:val="multilevel"/>
    <w:tmpl w:val="B3EA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94E0C"/>
    <w:multiLevelType w:val="multilevel"/>
    <w:tmpl w:val="DEE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1448F"/>
    <w:multiLevelType w:val="multilevel"/>
    <w:tmpl w:val="DA40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11691"/>
    <w:multiLevelType w:val="multilevel"/>
    <w:tmpl w:val="F1AE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86AAE"/>
    <w:multiLevelType w:val="multilevel"/>
    <w:tmpl w:val="A4E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A4689"/>
    <w:multiLevelType w:val="multilevel"/>
    <w:tmpl w:val="744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12743"/>
    <w:multiLevelType w:val="multilevel"/>
    <w:tmpl w:val="F86A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A65C5"/>
    <w:multiLevelType w:val="multilevel"/>
    <w:tmpl w:val="1DE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948AC"/>
    <w:multiLevelType w:val="multilevel"/>
    <w:tmpl w:val="4F7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545A5"/>
    <w:multiLevelType w:val="multilevel"/>
    <w:tmpl w:val="0A0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E0052"/>
    <w:multiLevelType w:val="multilevel"/>
    <w:tmpl w:val="139E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EC32C5"/>
    <w:multiLevelType w:val="multilevel"/>
    <w:tmpl w:val="CC1A7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4C188E"/>
    <w:multiLevelType w:val="multilevel"/>
    <w:tmpl w:val="521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502AA"/>
    <w:multiLevelType w:val="multilevel"/>
    <w:tmpl w:val="E1F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1"/>
  </w:num>
  <w:num w:numId="3">
    <w:abstractNumId w:val="0"/>
  </w:num>
  <w:num w:numId="4">
    <w:abstractNumId w:val="5"/>
  </w:num>
  <w:num w:numId="5">
    <w:abstractNumId w:val="6"/>
  </w:num>
  <w:num w:numId="6">
    <w:abstractNumId w:val="8"/>
  </w:num>
  <w:num w:numId="7">
    <w:abstractNumId w:val="16"/>
  </w:num>
  <w:num w:numId="8">
    <w:abstractNumId w:val="20"/>
  </w:num>
  <w:num w:numId="9">
    <w:abstractNumId w:val="22"/>
  </w:num>
  <w:num w:numId="10">
    <w:abstractNumId w:val="10"/>
  </w:num>
  <w:num w:numId="11">
    <w:abstractNumId w:val="3"/>
  </w:num>
  <w:num w:numId="12">
    <w:abstractNumId w:val="13"/>
  </w:num>
  <w:num w:numId="13">
    <w:abstractNumId w:val="2"/>
  </w:num>
  <w:num w:numId="14">
    <w:abstractNumId w:val="4"/>
  </w:num>
  <w:num w:numId="15">
    <w:abstractNumId w:val="14"/>
  </w:num>
  <w:num w:numId="16">
    <w:abstractNumId w:val="19"/>
  </w:num>
  <w:num w:numId="17">
    <w:abstractNumId w:val="7"/>
  </w:num>
  <w:num w:numId="18">
    <w:abstractNumId w:val="9"/>
  </w:num>
  <w:num w:numId="19">
    <w:abstractNumId w:val="15"/>
  </w:num>
  <w:num w:numId="20">
    <w:abstractNumId w:val="11"/>
  </w:num>
  <w:num w:numId="21">
    <w:abstractNumId w:val="12"/>
  </w:num>
  <w:num w:numId="22">
    <w:abstractNumId w:val="1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BB"/>
    <w:rsid w:val="00080BBB"/>
    <w:rsid w:val="001E1E1F"/>
    <w:rsid w:val="004D1B99"/>
    <w:rsid w:val="006B45AB"/>
    <w:rsid w:val="00975CD4"/>
    <w:rsid w:val="00A528DB"/>
    <w:rsid w:val="00C71160"/>
    <w:rsid w:val="00CE2F71"/>
    <w:rsid w:val="00DF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C316"/>
  <w15:chartTrackingRefBased/>
  <w15:docId w15:val="{04BDED40-4760-40F7-8280-53F7109E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0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NG"/>
    </w:rPr>
  </w:style>
  <w:style w:type="paragraph" w:styleId="Heading3">
    <w:name w:val="heading 3"/>
    <w:basedOn w:val="Normal"/>
    <w:link w:val="Heading3Char"/>
    <w:uiPriority w:val="9"/>
    <w:qFormat/>
    <w:rsid w:val="00080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1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0BBB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080BBB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unhideWhenUsed/>
    <w:rsid w:val="00080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1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th-inline">
    <w:name w:val="math-inline"/>
    <w:basedOn w:val="DefaultParagraphFont"/>
    <w:rsid w:val="00C71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2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waliyullahabolore@gmail.com</dc:creator>
  <cp:keywords/>
  <dc:description/>
  <cp:lastModifiedBy>waliyullahabolore@gmail.com</cp:lastModifiedBy>
  <cp:revision>5</cp:revision>
  <dcterms:created xsi:type="dcterms:W3CDTF">2026-04-14T12:21:00Z</dcterms:created>
  <dcterms:modified xsi:type="dcterms:W3CDTF">2026-04-15T10:33:00Z</dcterms:modified>
</cp:coreProperties>
</file>