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Brand Guidelines</w:t>
      </w:r>
    </w:p>
    <w:p>
      <w:pPr>
        <w:spacing w:after="240"/>
        <w:pBdr>
          <w:bottom w:val="single" w:sz="6" w:space="2" w:color="E2E8F0"/>
        </w:pBdr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Brand Identity</w:t>
      </w:r>
    </w:p>
    <w:p>
      <w:pPr>
        <w:spacing w:after="60"/>
      </w:pPr>
      <w:r>
        <w:rPr>
          <w:b/>
          <w:color w:val="1F2937"/>
          <w:sz w:val="21"/>
        </w:rPr>
        <w:t xml:space="preserve">Brand Name: </w:t>
      </w:r>
      <w:r>
        <w:rPr>
          <w:color w:val="1F2937"/>
          <w:sz w:val="21"/>
        </w:rPr>
        <w:t>Nakola Expert Systems</w:t>
      </w:r>
    </w:p>
    <w:p>
      <w:pPr>
        <w:spacing w:after="60"/>
      </w:pPr>
      <w:r>
        <w:rPr>
          <w:b/>
          <w:color w:val="1F2937"/>
          <w:sz w:val="21"/>
        </w:rPr>
        <w:t xml:space="preserve">Primary Tagline: </w:t>
      </w:r>
      <w:r>
        <w:rPr>
          <w:color w:val="1F2937"/>
          <w:sz w:val="21"/>
        </w:rPr>
        <w:t>Build Smarter. Scale Faster. Innovate Globally.</w:t>
      </w:r>
    </w:p>
    <w:p>
      <w:pPr>
        <w:spacing w:after="60"/>
      </w:pPr>
      <w:r>
        <w:rPr>
          <w:b/>
          <w:color w:val="1F2937"/>
          <w:sz w:val="21"/>
        </w:rPr>
        <w:t xml:space="preserve">Alternate Tagline: </w:t>
      </w:r>
      <w:r>
        <w:rPr>
          <w:color w:val="1F2937"/>
          <w:sz w:val="21"/>
        </w:rPr>
        <w:t>Built in Africa. Delivering Globally.</w:t>
      </w:r>
    </w:p>
    <w:p>
      <w:pPr>
        <w:spacing w:after="60"/>
      </w:pPr>
      <w:r>
        <w:rPr>
          <w:b/>
          <w:color w:val="1F2937"/>
          <w:sz w:val="21"/>
        </w:rPr>
        <w:t xml:space="preserve">Core Positioning: </w:t>
      </w:r>
      <w:r>
        <w:rPr>
          <w:color w:val="1F2937"/>
          <w:sz w:val="21"/>
        </w:rPr>
        <w:t>African-grounded technical expertise with global-standard delivery.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Brand Promise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We help ambitious organizations transform ideas into reliable digital products with measurable business outcomes.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Brand Voice</w:t>
      </w:r>
    </w:p>
    <w:p>
      <w:pPr>
        <w:pStyle w:val="ListBullet"/>
        <w:spacing w:after="60"/>
      </w:pPr>
      <w:r>
        <w:rPr>
          <w:color w:val="1F2937"/>
          <w:sz w:val="21"/>
        </w:rPr>
        <w:t>Confident and professional</w:t>
      </w:r>
    </w:p>
    <w:p>
      <w:pPr>
        <w:pStyle w:val="ListBullet"/>
        <w:spacing w:after="60"/>
      </w:pPr>
      <w:r>
        <w:rPr>
          <w:color w:val="1F2937"/>
          <w:sz w:val="21"/>
        </w:rPr>
        <w:t>Strategic and business-outcome focused</w:t>
      </w:r>
    </w:p>
    <w:p>
      <w:pPr>
        <w:pStyle w:val="ListBullet"/>
        <w:spacing w:after="60"/>
      </w:pPr>
      <w:r>
        <w:rPr>
          <w:color w:val="1F2937"/>
          <w:sz w:val="21"/>
        </w:rPr>
        <w:t>Transparent and collaborative</w:t>
      </w:r>
    </w:p>
    <w:p>
      <w:pPr>
        <w:pStyle w:val="ListBullet"/>
        <w:spacing w:after="60"/>
      </w:pPr>
      <w:r>
        <w:rPr>
          <w:color w:val="1F2937"/>
          <w:sz w:val="21"/>
        </w:rPr>
        <w:t>Technically credible without unnecessary jargon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Messaging Pillars</w:t>
      </w:r>
    </w:p>
    <w:p>
      <w:pPr>
        <w:pStyle w:val="ListNumber"/>
        <w:spacing w:after="60"/>
      </w:pPr>
      <w:r>
        <w:rPr>
          <w:color w:val="1F2937"/>
          <w:sz w:val="21"/>
        </w:rPr>
        <w:t>Measurable outcomes over vanity output</w:t>
      </w:r>
    </w:p>
    <w:p>
      <w:pPr>
        <w:pStyle w:val="ListNumber"/>
        <w:spacing w:after="60"/>
      </w:pPr>
      <w:r>
        <w:rPr>
          <w:color w:val="1F2937"/>
          <w:sz w:val="21"/>
        </w:rPr>
        <w:t>Senior-led delivery and accountability</w:t>
      </w:r>
    </w:p>
    <w:p>
      <w:pPr>
        <w:pStyle w:val="ListNumber"/>
        <w:spacing w:after="60"/>
      </w:pPr>
      <w:r>
        <w:rPr>
          <w:color w:val="1F2937"/>
          <w:sz w:val="21"/>
        </w:rPr>
        <w:t>African market understanding with global execution standards</w:t>
      </w:r>
    </w:p>
    <w:p>
      <w:pPr>
        <w:pStyle w:val="ListNumber"/>
        <w:spacing w:after="60"/>
      </w:pPr>
      <w:r>
        <w:rPr>
          <w:color w:val="1F2937"/>
          <w:sz w:val="21"/>
        </w:rPr>
        <w:t>Long-term partnership mindset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Color Palette</w:t>
      </w:r>
    </w:p>
    <w:p>
      <w:pPr>
        <w:spacing w:before="200" w:after="80"/>
      </w:pPr>
      <w:r>
        <w:rPr>
          <w:b/>
          <w:color w:val="0A0F1A"/>
          <w:sz w:val="22"/>
        </w:rPr>
        <w:t>Primary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2563EB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1F2937"/>
                <w:sz w:val="20"/>
              </w:rPr>
              <w:t>Primary Blue</w:t>
            </w:r>
          </w:p>
          <w:p>
            <w:r>
              <w:rPr>
                <w:color w:val="64748B"/>
                <w:sz w:val="18"/>
              </w:rPr>
              <w:t>#2563EB</w:t>
            </w:r>
          </w:p>
        </w:tc>
        <w:tc>
          <w:tcPr>
            <w:tcW w:type="dxa" w:w="5760"/>
          </w:tcPr>
          <w:p>
            <w:r>
              <w:rPr>
                <w:color w:val="1F2937"/>
                <w:sz w:val="19"/>
              </w:rPr>
              <w:t>Primary action color, links, key CTAs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7C3AED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1F2937"/>
                <w:sz w:val="20"/>
              </w:rPr>
              <w:t>Accent Purple</w:t>
            </w:r>
          </w:p>
          <w:p>
            <w:r>
              <w:rPr>
                <w:color w:val="64748B"/>
                <w:sz w:val="18"/>
              </w:rPr>
              <w:t>#7C3AED</w:t>
            </w:r>
          </w:p>
        </w:tc>
        <w:tc>
          <w:tcPr>
            <w:tcW w:type="dxa" w:w="5760"/>
          </w:tcPr>
          <w:p>
            <w:r>
              <w:rPr>
                <w:color w:val="1F2937"/>
                <w:sz w:val="19"/>
              </w:rPr>
              <w:t>Blue-to-purple gradients for hero/premium highlights</w:t>
            </w:r>
          </w:p>
        </w:tc>
      </w:tr>
    </w:tbl>
    <w:p>
      <w:pPr>
        <w:spacing w:before="200" w:after="80"/>
      </w:pPr>
      <w:r>
        <w:rPr>
          <w:b/>
          <w:color w:val="0A0F1A"/>
          <w:sz w:val="22"/>
        </w:rPr>
        <w:t>Supporting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10B981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1F2937"/>
                <w:sz w:val="20"/>
              </w:rPr>
              <w:t>Success Green</w:t>
            </w:r>
          </w:p>
          <w:p>
            <w:r>
              <w:rPr>
                <w:color w:val="64748B"/>
                <w:sz w:val="18"/>
              </w:rPr>
              <w:t>#10B981</w:t>
            </w:r>
          </w:p>
        </w:tc>
        <w:tc>
          <w:tcPr>
            <w:tcW w:type="dxa" w:w="5760"/>
          </w:tcPr>
          <w:p>
            <w:r>
              <w:rPr>
                <w:color w:val="1F2937"/>
                <w:sz w:val="19"/>
              </w:rPr>
              <w:t>Success states and positive metrics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F59E0B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1F2937"/>
                <w:sz w:val="20"/>
              </w:rPr>
              <w:t>Premium Gold</w:t>
            </w:r>
          </w:p>
          <w:p>
            <w:r>
              <w:rPr>
                <w:color w:val="64748B"/>
                <w:sz w:val="18"/>
              </w:rPr>
              <w:t>#F59E0B</w:t>
            </w:r>
          </w:p>
        </w:tc>
        <w:tc>
          <w:tcPr>
            <w:tcW w:type="dxa" w:w="5760"/>
          </w:tcPr>
          <w:p>
            <w:r>
              <w:rPr>
                <w:color w:val="1F2937"/>
                <w:sz w:val="19"/>
              </w:rPr>
              <w:t>Highlights and premium accents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14B8A6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1F2937"/>
                <w:sz w:val="20"/>
              </w:rPr>
              <w:t>Teal Accent</w:t>
            </w:r>
          </w:p>
          <w:p>
            <w:r>
              <w:rPr>
                <w:color w:val="64748B"/>
                <w:sz w:val="18"/>
              </w:rPr>
              <w:t>#14B8A6</w:t>
            </w:r>
          </w:p>
        </w:tc>
        <w:tc>
          <w:tcPr>
            <w:tcW w:type="dxa" w:w="5760"/>
          </w:tcPr>
          <w:p>
            <w:r>
              <w:rPr>
                <w:color w:val="1F2937"/>
                <w:sz w:val="19"/>
              </w:rPr>
              <w:t>Secondary supporting accent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0A0F1A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1F2937"/>
                <w:sz w:val="20"/>
              </w:rPr>
              <w:t>Dark Neutral</w:t>
            </w:r>
          </w:p>
          <w:p>
            <w:r>
              <w:rPr>
                <w:color w:val="64748B"/>
                <w:sz w:val="18"/>
              </w:rPr>
              <w:t>#0A0F1A</w:t>
            </w:r>
          </w:p>
        </w:tc>
        <w:tc>
          <w:tcPr>
            <w:tcW w:type="dxa" w:w="5760"/>
          </w:tcPr>
          <w:p>
            <w:r>
              <w:rPr>
                <w:color w:val="1F2937"/>
                <w:sz w:val="19"/>
              </w:rPr>
              <w:t>Contrast and enterprise tone</w:t>
            </w:r>
          </w:p>
        </w:tc>
      </w:tr>
    </w:tbl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Typography</w:t>
      </w:r>
    </w:p>
    <w:p>
      <w:pPr>
        <w:spacing w:after="60"/>
      </w:pPr>
      <w:r>
        <w:rPr>
          <w:b/>
          <w:color w:val="1F2937"/>
          <w:sz w:val="21"/>
        </w:rPr>
        <w:t xml:space="preserve">Heading Font: </w:t>
      </w:r>
      <w:r>
        <w:rPr>
          <w:color w:val="1F2937"/>
          <w:sz w:val="21"/>
        </w:rPr>
        <w:t>Inter</w:t>
      </w:r>
    </w:p>
    <w:p>
      <w:pPr>
        <w:spacing w:after="60"/>
      </w:pPr>
      <w:r>
        <w:rPr>
          <w:b/>
          <w:color w:val="1F2937"/>
          <w:sz w:val="21"/>
        </w:rPr>
        <w:t xml:space="preserve">Body Font: </w:t>
      </w:r>
      <w:r>
        <w:rPr>
          <w:color w:val="1F2937"/>
          <w:sz w:val="21"/>
        </w:rPr>
        <w:t>Inter</w:t>
      </w:r>
    </w:p>
    <w:p>
      <w:pPr>
        <w:spacing w:after="60"/>
      </w:pPr>
      <w:r>
        <w:rPr>
          <w:b/>
          <w:color w:val="1F2937"/>
          <w:sz w:val="21"/>
        </w:rPr>
        <w:t xml:space="preserve">Monospace Accent: </w:t>
      </w:r>
      <w:r>
        <w:rPr>
          <w:color w:val="1F2937"/>
          <w:sz w:val="21"/>
        </w:rPr>
        <w:t>JetBrains Mono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Headings: bold and concise. Body: clear, readable, business-friendly. Monospace: technical snippets or data callouts.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Logo Usage</w:t>
      </w:r>
    </w:p>
    <w:p>
      <w:pPr>
        <w:spacing w:after="60"/>
      </w:pPr>
      <w:r>
        <w:rPr>
          <w:b/>
          <w:color w:val="1F2937"/>
          <w:sz w:val="21"/>
        </w:rPr>
        <w:t xml:space="preserve">Primary logo: </w:t>
      </w:r>
      <w:r>
        <w:rPr>
          <w:color w:val="1F2937"/>
          <w:sz w:val="21"/>
        </w:rPr>
        <w:t>NES logo with wording (full company name)</w:t>
      </w:r>
    </w:p>
    <w:p>
      <w:pPr>
        <w:spacing w:after="60"/>
      </w:pPr>
      <w:r>
        <w:rPr>
          <w:b/>
          <w:color w:val="1F2937"/>
          <w:sz w:val="21"/>
        </w:rPr>
        <w:t xml:space="preserve">Symbol-only mark: </w:t>
      </w:r>
      <w:r>
        <w:rPr>
          <w:color w:val="1F2937"/>
          <w:sz w:val="21"/>
        </w:rPr>
        <w:t>Gear + security icon, with or without NES wordmark/stars</w:t>
      </w:r>
    </w:p>
    <w:p>
      <w:pPr>
        <w:spacing w:after="60"/>
      </w:pPr>
      <w:r>
        <w:rPr>
          <w:b/>
          <w:color w:val="1F2937"/>
          <w:sz w:val="21"/>
        </w:rPr>
        <w:t xml:space="preserve">Clear space: </w:t>
      </w:r>
      <w:r>
        <w:rPr>
          <w:i/>
          <w:color w:val="B42C0C"/>
          <w:sz w:val="21"/>
        </w:rPr>
        <w:t>[Define clear space rule]</w:t>
      </w:r>
    </w:p>
    <w:p>
      <w:pPr>
        <w:spacing w:after="60"/>
      </w:pPr>
      <w:r>
        <w:rPr>
          <w:b/>
          <w:color w:val="1F2937"/>
          <w:sz w:val="21"/>
        </w:rPr>
        <w:t xml:space="preserve">Minimum size: </w:t>
      </w:r>
      <w:r>
        <w:rPr>
          <w:i/>
          <w:color w:val="B42C0C"/>
          <w:sz w:val="21"/>
        </w:rPr>
        <w:t>[Define minimum size]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Do not distort, recolor without brand approval, or place on low-contrast backgrounds.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Imagery and Visual Direction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Use high-clarity visuals that communicate modern technology, business impact, and African-global relevance. Prefer authentic project/product visuals over stock-heavy storytelling.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9. Tone Examples</w:t>
      </w:r>
    </w:p>
    <w:p>
      <w:r>
        <w:rPr>
          <w:b/>
        </w:rPr>
        <w:t xml:space="preserve">Preferred: </w:t>
      </w:r>
      <w:r>
        <w:t>"We deliver software that drives measurable revenue and operational impact."</w:t>
      </w:r>
    </w:p>
    <w:p>
      <w:r>
        <w:rPr>
          <w:b/>
        </w:rPr>
        <w:t xml:space="preserve">Avoid: </w:t>
      </w:r>
      <w:r>
        <w:t>"We build amazing solutions for everything."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10. Contact Signature Block Standard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Nakola Expert Systems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Nairobi, Kenya | Serving clients globally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hello@nakolaexpertsystems.com | +254 715 674 828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