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Client Onboarding Checklist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1. Client and Project Setup</w:t>
      </w:r>
    </w:p>
    <w:p>
      <w:pPr>
        <w:spacing w:after="80"/>
        <w:ind w:left="120"/>
      </w:pPr>
      <w:r>
        <w:rPr>
          <w:i/>
          <w:color w:val="B42C0C"/>
          <w:sz w:val="21"/>
        </w:rPr>
        <w:t>☐  Confirm client legal name: [Client Legal Name]</w:t>
      </w:r>
    </w:p>
    <w:p>
      <w:pPr>
        <w:spacing w:after="80"/>
        <w:ind w:left="120"/>
      </w:pPr>
      <w:r>
        <w:rPr>
          <w:color w:val="1F2937"/>
          <w:sz w:val="21"/>
        </w:rPr>
        <w:t>☐  Confirm primary contact person and role</w:t>
      </w:r>
    </w:p>
    <w:p>
      <w:pPr>
        <w:spacing w:after="80"/>
        <w:ind w:left="120"/>
      </w:pPr>
      <w:r>
        <w:rPr>
          <w:color w:val="1F2937"/>
          <w:sz w:val="21"/>
        </w:rPr>
        <w:t>☐  Confirm project name and internal code</w:t>
      </w:r>
    </w:p>
    <w:p>
      <w:pPr>
        <w:spacing w:after="80"/>
        <w:ind w:left="120"/>
      </w:pPr>
      <w:r>
        <w:rPr>
          <w:color w:val="1F2937"/>
          <w:sz w:val="21"/>
        </w:rPr>
        <w:t>☐  Confirm project objectives and expected outcomes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2. Commercial Documentation</w:t>
      </w:r>
    </w:p>
    <w:p>
      <w:pPr>
        <w:spacing w:after="80"/>
        <w:ind w:left="120"/>
      </w:pPr>
      <w:r>
        <w:rPr>
          <w:color w:val="1F2937"/>
          <w:sz w:val="21"/>
        </w:rPr>
        <w:t>☐  Signed proposal received</w:t>
      </w:r>
    </w:p>
    <w:p>
      <w:pPr>
        <w:spacing w:after="80"/>
        <w:ind w:left="120"/>
      </w:pPr>
      <w:r>
        <w:rPr>
          <w:color w:val="1F2937"/>
          <w:sz w:val="21"/>
        </w:rPr>
        <w:t>☐  Signed service agreement received</w:t>
      </w:r>
    </w:p>
    <w:p>
      <w:pPr>
        <w:spacing w:after="80"/>
        <w:ind w:left="120"/>
      </w:pPr>
      <w:r>
        <w:rPr>
          <w:color w:val="1F2937"/>
          <w:sz w:val="21"/>
        </w:rPr>
        <w:t>☐  Quotation approved</w:t>
      </w:r>
    </w:p>
    <w:p>
      <w:pPr>
        <w:spacing w:after="80"/>
        <w:ind w:left="120"/>
      </w:pPr>
      <w:r>
        <w:rPr>
          <w:color w:val="1F2937"/>
          <w:sz w:val="21"/>
        </w:rPr>
        <w:t>☐  Initial invoice issued</w:t>
      </w:r>
    </w:p>
    <w:p>
      <w:pPr>
        <w:spacing w:after="80"/>
        <w:ind w:left="120"/>
      </w:pPr>
      <w:r>
        <w:rPr>
          <w:color w:val="1F2937"/>
          <w:sz w:val="21"/>
        </w:rPr>
        <w:t>☐  Initial payment confirmed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3. Compliance and Legal</w:t>
      </w:r>
    </w:p>
    <w:p>
      <w:pPr>
        <w:spacing w:after="80"/>
        <w:ind w:left="120"/>
      </w:pPr>
      <w:r>
        <w:rPr>
          <w:color w:val="1F2937"/>
          <w:sz w:val="21"/>
        </w:rPr>
        <w:t>☐  NDA signed (if required)</w:t>
      </w:r>
    </w:p>
    <w:p>
      <w:pPr>
        <w:spacing w:after="80"/>
        <w:ind w:left="120"/>
      </w:pPr>
      <w:r>
        <w:rPr>
          <w:color w:val="1F2937"/>
          <w:sz w:val="21"/>
        </w:rPr>
        <w:t>☐  Data processing expectations documented</w:t>
      </w:r>
    </w:p>
    <w:p>
      <w:pPr>
        <w:spacing w:after="80"/>
        <w:ind w:left="120"/>
      </w:pPr>
      <w:r>
        <w:rPr>
          <w:i/>
          <w:color w:val="B42C0C"/>
          <w:sz w:val="21"/>
        </w:rPr>
        <w:t>☐  Regulatory requirements captured: [Industry/Region Requirements]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4. Communication and Governance</w:t>
      </w:r>
    </w:p>
    <w:p>
      <w:pPr>
        <w:spacing w:after="80"/>
        <w:ind w:left="120"/>
      </w:pPr>
      <w:r>
        <w:rPr>
          <w:color w:val="1F2937"/>
          <w:sz w:val="21"/>
        </w:rPr>
        <w:t>☐  Kickoff meeting scheduled</w:t>
      </w:r>
    </w:p>
    <w:p>
      <w:pPr>
        <w:spacing w:after="80"/>
        <w:ind w:left="120"/>
      </w:pPr>
      <w:r>
        <w:rPr>
          <w:color w:val="1F2937"/>
          <w:sz w:val="21"/>
        </w:rPr>
        <w:t>☐  Communication channels agreed (Email / WhatsApp / Teams)</w:t>
      </w:r>
    </w:p>
    <w:p>
      <w:pPr>
        <w:spacing w:after="80"/>
        <w:ind w:left="120"/>
      </w:pPr>
      <w:r>
        <w:rPr>
          <w:i/>
          <w:color w:val="B42C0C"/>
          <w:sz w:val="21"/>
        </w:rPr>
        <w:t>☐  Reporting cadence agreed: [Weekly/Bi-weekly]</w:t>
      </w:r>
    </w:p>
    <w:p>
      <w:pPr>
        <w:spacing w:after="80"/>
        <w:ind w:left="120"/>
      </w:pPr>
      <w:r>
        <w:rPr>
          <w:color w:val="1F2937"/>
          <w:sz w:val="21"/>
        </w:rPr>
        <w:t>☐  Escalation contacts documented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5. Discovery Inputs</w:t>
      </w:r>
    </w:p>
    <w:p>
      <w:pPr>
        <w:spacing w:after="80"/>
        <w:ind w:left="120"/>
      </w:pPr>
      <w:r>
        <w:rPr>
          <w:color w:val="1F2937"/>
          <w:sz w:val="21"/>
        </w:rPr>
        <w:t>☐  Business goals and KPIs captured</w:t>
      </w:r>
    </w:p>
    <w:p>
      <w:pPr>
        <w:spacing w:after="80"/>
        <w:ind w:left="120"/>
      </w:pPr>
      <w:r>
        <w:rPr>
          <w:color w:val="1F2937"/>
          <w:sz w:val="21"/>
        </w:rPr>
        <w:t>☐  Existing systems and tools documented</w:t>
      </w:r>
    </w:p>
    <w:p>
      <w:pPr>
        <w:spacing w:after="80"/>
        <w:ind w:left="120"/>
      </w:pPr>
      <w:r>
        <w:rPr>
          <w:color w:val="1F2937"/>
          <w:sz w:val="21"/>
        </w:rPr>
        <w:t>☐  User personas or target customer segments shared</w:t>
      </w:r>
    </w:p>
    <w:p>
      <w:pPr>
        <w:spacing w:after="80"/>
        <w:ind w:left="120"/>
      </w:pPr>
      <w:r>
        <w:rPr>
          <w:color w:val="1F2937"/>
          <w:sz w:val="21"/>
        </w:rPr>
        <w:t>☐  Competitor/references shared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6. Access and Technical Readiness</w:t>
      </w:r>
    </w:p>
    <w:p>
      <w:pPr>
        <w:spacing w:after="80"/>
        <w:ind w:left="120"/>
      </w:pPr>
      <w:r>
        <w:rPr>
          <w:color w:val="1F2937"/>
          <w:sz w:val="21"/>
        </w:rPr>
        <w:t>☐  Domain/hosting access (if applicable)</w:t>
      </w:r>
    </w:p>
    <w:p>
      <w:pPr>
        <w:spacing w:after="80"/>
        <w:ind w:left="120"/>
      </w:pPr>
      <w:r>
        <w:rPr>
          <w:color w:val="1F2937"/>
          <w:sz w:val="21"/>
        </w:rPr>
        <w:t>☐  Repository access</w:t>
      </w:r>
    </w:p>
    <w:p>
      <w:pPr>
        <w:spacing w:after="80"/>
        <w:ind w:left="120"/>
      </w:pPr>
      <w:r>
        <w:rPr>
          <w:color w:val="1F2937"/>
          <w:sz w:val="21"/>
        </w:rPr>
        <w:t>☐  Cloud/platform credentials</w:t>
      </w:r>
    </w:p>
    <w:p>
      <w:pPr>
        <w:spacing w:after="80"/>
        <w:ind w:left="120"/>
      </w:pPr>
      <w:r>
        <w:rPr>
          <w:color w:val="1F2937"/>
          <w:sz w:val="21"/>
        </w:rPr>
        <w:t>☐  Analytics and tracking access</w:t>
      </w:r>
    </w:p>
    <w:p>
      <w:pPr>
        <w:spacing w:after="80"/>
        <w:ind w:left="120"/>
      </w:pPr>
      <w:r>
        <w:rPr>
          <w:color w:val="1F2937"/>
          <w:sz w:val="21"/>
        </w:rPr>
        <w:t>☐  Brand assets (logos, fonts, colors)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7. Delivery Planning</w:t>
      </w:r>
    </w:p>
    <w:p>
      <w:pPr>
        <w:spacing w:after="80"/>
        <w:ind w:left="120"/>
      </w:pPr>
      <w:r>
        <w:rPr>
          <w:color w:val="1F2937"/>
          <w:sz w:val="21"/>
        </w:rPr>
        <w:t>☐  Final scope baseline confirmed</w:t>
      </w:r>
    </w:p>
    <w:p>
      <w:pPr>
        <w:spacing w:after="80"/>
        <w:ind w:left="120"/>
      </w:pPr>
      <w:r>
        <w:rPr>
          <w:color w:val="1F2937"/>
          <w:sz w:val="21"/>
        </w:rPr>
        <w:t>☐  Milestone plan approved</w:t>
      </w:r>
    </w:p>
    <w:p>
      <w:pPr>
        <w:spacing w:after="80"/>
        <w:ind w:left="120"/>
      </w:pPr>
      <w:r>
        <w:rPr>
          <w:color w:val="1F2937"/>
          <w:sz w:val="21"/>
        </w:rPr>
        <w:t>☐  Dependencies and risks logged</w:t>
      </w:r>
    </w:p>
    <w:p>
      <w:pPr>
        <w:spacing w:after="80"/>
        <w:ind w:left="120"/>
      </w:pPr>
      <w:r>
        <w:rPr>
          <w:color w:val="1F2937"/>
          <w:sz w:val="21"/>
        </w:rPr>
        <w:t>☐  Acceptance criteria documented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8. Post-Launch Planning</w:t>
      </w:r>
    </w:p>
    <w:p>
      <w:pPr>
        <w:spacing w:after="80"/>
        <w:ind w:left="120"/>
      </w:pPr>
      <w:r>
        <w:rPr>
          <w:i/>
          <w:color w:val="B42C0C"/>
          <w:sz w:val="21"/>
        </w:rPr>
        <w:t>☐  Support model selected: [Essential/Professional/Enterprise/Custom]</w:t>
      </w:r>
    </w:p>
    <w:p>
      <w:pPr>
        <w:spacing w:after="80"/>
        <w:ind w:left="120"/>
      </w:pPr>
      <w:r>
        <w:rPr>
          <w:color w:val="1F2937"/>
          <w:sz w:val="21"/>
        </w:rPr>
        <w:t>☐  Warranty period expectations aligned</w:t>
      </w:r>
    </w:p>
    <w:p>
      <w:pPr>
        <w:spacing w:after="80"/>
        <w:ind w:left="120"/>
      </w:pPr>
      <w:r>
        <w:rPr>
          <w:color w:val="1F2937"/>
          <w:sz w:val="21"/>
        </w:rPr>
        <w:t>☐  Handover artifacts agreed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