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Terms and Conditions</w:t>
      </w:r>
    </w:p>
    <w:p>
      <w:pPr>
        <w:spacing w:after="200"/>
      </w:pPr>
      <w:r>
        <w:rPr>
          <w:color w:val="64748B"/>
          <w:sz w:val="22"/>
        </w:rPr>
        <w:t>General business terms for engagements with Nakola Expert Systems</w:t>
      </w:r>
    </w:p>
    <w:p>
      <w:pPr>
        <w:spacing w:after="240"/>
        <w:pBdr>
          <w:bottom w:val="single" w:sz="6" w:space="2" w:color="E2E8F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before="80" w:after="80"/>
            </w:pPr>
            <w:r>
              <w:rPr>
                <w:b/>
                <w:color w:val="92400E"/>
                <w:sz w:val="19"/>
              </w:rPr>
              <w:t>⚖  Legal Notice: This is a business template and must be reviewed by a qualified legal professional before official use.</w:t>
            </w:r>
          </w:p>
        </w:tc>
      </w:tr>
    </w:tbl>
    <w:p>
      <w:pPr>
        <w:spacing w:after="120"/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1. Acceptance of Terms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By engaging Nakola Expert Systems or using www.nakolaexpertsystems.com, you agree to these Terms and Conditions.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2. Services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Nakola Expert Systems provides software, consulting, digital transformation, cloud, QA, and support services under separate signed project agreements.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3. Use of Website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Users agree not to:</w:t>
      </w:r>
    </w:p>
    <w:p>
      <w:pPr>
        <w:pStyle w:val="ListBullet"/>
        <w:spacing w:after="60"/>
      </w:pPr>
      <w:r>
        <w:rPr>
          <w:color w:val="1F2937"/>
          <w:sz w:val="21"/>
        </w:rPr>
        <w:t>Violate applicable laws or regulations</w:t>
      </w:r>
    </w:p>
    <w:p>
      <w:pPr>
        <w:pStyle w:val="ListBullet"/>
        <w:spacing w:after="60"/>
      </w:pPr>
      <w:r>
        <w:rPr>
          <w:color w:val="1F2937"/>
          <w:sz w:val="21"/>
        </w:rPr>
        <w:t>Attempt unauthorized access to our systems</w:t>
      </w:r>
    </w:p>
    <w:p>
      <w:pPr>
        <w:pStyle w:val="ListBullet"/>
        <w:spacing w:after="60"/>
      </w:pPr>
      <w:r>
        <w:rPr>
          <w:color w:val="1F2937"/>
          <w:sz w:val="21"/>
        </w:rPr>
        <w:t>Misuse website content or systems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4. Intellectual Property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All website content, branding, and proprietary materials are owned by Nakola Expert Systems or licensed to us unless otherwise stated.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5. Quotes and Proposals</w:t>
      </w:r>
    </w:p>
    <w:p>
      <w:pPr>
        <w:spacing w:after="60"/>
      </w:pPr>
      <w:r>
        <w:rPr>
          <w:b/>
          <w:color w:val="1F2937"/>
          <w:sz w:val="21"/>
        </w:rPr>
        <w:t xml:space="preserve">Quotation validity: </w:t>
      </w:r>
      <w:r>
        <w:rPr>
          <w:i/>
          <w:color w:val="B42C0C"/>
          <w:sz w:val="21"/>
        </w:rPr>
        <w:t>[X days]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Final scope, pricing, and timelines are governed by signed agreements.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6. Payments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Payment terms, late fees, and taxes are governed by the signed commercial document for each engagement (quotation, invoice, or service agreement).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7. Disclaimer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Website content is for general informational purposes and may change without notice.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8. Limitation of Liability</w:t>
      </w:r>
    </w:p>
    <w:p>
      <w:pPr>
        <w:spacing w:after="120"/>
      </w:pPr>
      <w:r>
        <w:rPr>
          <w:b w:val="0"/>
          <w:i/>
          <w:color w:val="1F2937"/>
          <w:sz w:val="21"/>
        </w:rPr>
        <w:t>[Insert legal-approved liability limitation and exclusion clause.]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9. Third-Party Links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We are not responsible for external third-party websites linked from our website.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10. Termination / Suspension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We may suspend access where misuse, breach, or legal risk is identified.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11. Governing Law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These terms are governed by the laws of [Governing Law/Jurisdiction].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12. Contact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color w:val="1F2937"/>
          <w:sz w:val="21"/>
        </w:rPr>
        <w:t>hello@nakolaexpertsystems.com</w:t>
      </w:r>
    </w:p>
    <w:p>
      <w:pPr>
        <w:spacing w:after="60"/>
      </w:pPr>
      <w:r>
        <w:rPr>
          <w:b/>
          <w:color w:val="1F2937"/>
          <w:sz w:val="21"/>
        </w:rPr>
        <w:t xml:space="preserve">Address: </w:t>
      </w:r>
      <w:r>
        <w:rPr>
          <w:i/>
          <w:color w:val="B42C0C"/>
          <w:sz w:val="21"/>
        </w:rPr>
        <w:t>[Registered Address]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872"/>
        </w:tcPr>
        <w:p>
          <w:r>
            <w:drawing>
              <wp:inline xmlns:a="http://schemas.openxmlformats.org/drawingml/2006/main" xmlns:pic="http://schemas.openxmlformats.org/drawingml/2006/picture">
                <wp:extent cx="892395" cy="5029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2395" cy="5029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64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