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Service Packages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These sample packages are designed for startups, SMEs, enterprises, and international organizations. Final scope and pricing should be customized per client needs.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Discovery and Strategy Package</w:t>
      </w:r>
    </w:p>
    <w:p>
      <w:pPr>
        <w:spacing w:after="120"/>
      </w:pPr>
      <w:r>
        <w:rPr>
          <w:b/>
          <w:i w:val="0"/>
          <w:color w:val="1F2937"/>
          <w:sz w:val="21"/>
        </w:rPr>
        <w:t>Best for: Organizations planning a new product or major transformation.</w:t>
      </w:r>
    </w:p>
    <w:p>
      <w:pPr>
        <w:pStyle w:val="ListBullet"/>
        <w:spacing w:after="60"/>
      </w:pPr>
      <w:r>
        <w:rPr>
          <w:color w:val="1F2937"/>
          <w:sz w:val="21"/>
        </w:rPr>
        <w:t>Business and technical discovery workshops</w:t>
      </w:r>
    </w:p>
    <w:p>
      <w:pPr>
        <w:pStyle w:val="ListBullet"/>
        <w:spacing w:after="60"/>
      </w:pPr>
      <w:r>
        <w:rPr>
          <w:color w:val="1F2937"/>
          <w:sz w:val="21"/>
        </w:rPr>
        <w:t>Architecture and implementation roadmap</w:t>
      </w:r>
    </w:p>
    <w:p>
      <w:pPr>
        <w:pStyle w:val="ListBullet"/>
        <w:spacing w:after="60"/>
      </w:pPr>
      <w:r>
        <w:rPr>
          <w:color w:val="1F2937"/>
          <w:sz w:val="21"/>
        </w:rPr>
        <w:t>Delivery timeline and budget model</w:t>
      </w:r>
    </w:p>
    <w:p>
      <w:pPr>
        <w:pStyle w:val="ListBullet"/>
        <w:spacing w:after="60"/>
      </w:pPr>
      <w:r>
        <w:rPr>
          <w:color w:val="1F2937"/>
          <w:sz w:val="21"/>
        </w:rPr>
        <w:t>Risk and dependency assessment</w:t>
      </w:r>
    </w:p>
    <w:p>
      <w:pPr>
        <w:spacing w:after="60"/>
      </w:pPr>
      <w:r>
        <w:rPr>
          <w:b/>
          <w:color w:val="1F2937"/>
          <w:sz w:val="21"/>
        </w:rPr>
        <w:t xml:space="preserve">Estimated Timeline: </w:t>
      </w:r>
      <w:r>
        <w:rPr>
          <w:color w:val="1F2937"/>
          <w:sz w:val="21"/>
        </w:rPr>
        <w:t>2-4 weeks</w:t>
      </w:r>
    </w:p>
    <w:p>
      <w:pPr>
        <w:spacing w:after="60"/>
      </w:pPr>
      <w:r>
        <w:rPr>
          <w:b/>
          <w:color w:val="1F2937"/>
          <w:sz w:val="21"/>
        </w:rPr>
        <w:t xml:space="preserve">Investment Range: </w:t>
      </w:r>
      <w:r>
        <w:rPr>
          <w:i/>
          <w:color w:val="B42C0C"/>
          <w:sz w:val="21"/>
        </w:rPr>
        <w:t>[Insert range]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Build and Launch Package</w:t>
      </w:r>
    </w:p>
    <w:p>
      <w:pPr>
        <w:spacing w:after="120"/>
      </w:pPr>
      <w:r>
        <w:rPr>
          <w:b/>
          <w:i w:val="0"/>
          <w:color w:val="1F2937"/>
          <w:sz w:val="21"/>
        </w:rPr>
        <w:t>Best for: MVPs and production-ready product launches.</w:t>
      </w:r>
    </w:p>
    <w:p>
      <w:pPr>
        <w:pStyle w:val="ListBullet"/>
        <w:spacing w:after="60"/>
      </w:pPr>
      <w:r>
        <w:rPr>
          <w:color w:val="1F2937"/>
          <w:sz w:val="21"/>
        </w:rPr>
        <w:t>Product design and engineering</w:t>
      </w:r>
    </w:p>
    <w:p>
      <w:pPr>
        <w:pStyle w:val="ListBullet"/>
        <w:spacing w:after="60"/>
      </w:pPr>
      <w:r>
        <w:rPr>
          <w:color w:val="1F2937"/>
          <w:sz w:val="21"/>
        </w:rPr>
        <w:t>Backend, frontend, and integrations</w:t>
      </w:r>
    </w:p>
    <w:p>
      <w:pPr>
        <w:pStyle w:val="ListBullet"/>
        <w:spacing w:after="60"/>
      </w:pPr>
      <w:r>
        <w:rPr>
          <w:color w:val="1F2937"/>
          <w:sz w:val="21"/>
        </w:rPr>
        <w:t>Quality assurance and release readiness</w:t>
      </w:r>
    </w:p>
    <w:p>
      <w:pPr>
        <w:pStyle w:val="ListBullet"/>
        <w:spacing w:after="60"/>
      </w:pPr>
      <w:r>
        <w:rPr>
          <w:color w:val="1F2937"/>
          <w:sz w:val="21"/>
        </w:rPr>
        <w:t>Deployment and launch support</w:t>
      </w:r>
    </w:p>
    <w:p>
      <w:pPr>
        <w:spacing w:after="60"/>
      </w:pPr>
      <w:r>
        <w:rPr>
          <w:b/>
          <w:color w:val="1F2937"/>
          <w:sz w:val="21"/>
        </w:rPr>
        <w:t xml:space="preserve">Estimated Timeline: </w:t>
      </w:r>
      <w:r>
        <w:rPr>
          <w:color w:val="1F2937"/>
          <w:sz w:val="21"/>
        </w:rPr>
        <w:t>4-16 weeks+</w:t>
      </w:r>
    </w:p>
    <w:p>
      <w:pPr>
        <w:spacing w:after="60"/>
      </w:pPr>
      <w:r>
        <w:rPr>
          <w:b/>
          <w:color w:val="1F2937"/>
          <w:sz w:val="21"/>
        </w:rPr>
        <w:t xml:space="preserve">Investment Range: </w:t>
      </w:r>
      <w:r>
        <w:rPr>
          <w:i/>
          <w:color w:val="B42C0C"/>
          <w:sz w:val="21"/>
        </w:rPr>
        <w:t>[Insert range]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Scale and Optimize Package</w:t>
      </w:r>
    </w:p>
    <w:p>
      <w:pPr>
        <w:spacing w:after="120"/>
      </w:pPr>
      <w:r>
        <w:rPr>
          <w:b/>
          <w:i w:val="0"/>
          <w:color w:val="1F2937"/>
          <w:sz w:val="21"/>
        </w:rPr>
        <w:t>Best for: Growing products needing performance, reliability, and growth support.</w:t>
      </w:r>
    </w:p>
    <w:p>
      <w:pPr>
        <w:pStyle w:val="ListBullet"/>
        <w:spacing w:after="60"/>
      </w:pPr>
      <w:r>
        <w:rPr>
          <w:color w:val="1F2937"/>
          <w:sz w:val="21"/>
        </w:rPr>
        <w:t>Cloud and DevOps optimization</w:t>
      </w:r>
    </w:p>
    <w:p>
      <w:pPr>
        <w:pStyle w:val="ListBullet"/>
        <w:spacing w:after="60"/>
      </w:pPr>
      <w:r>
        <w:rPr>
          <w:color w:val="1F2937"/>
          <w:sz w:val="21"/>
        </w:rPr>
        <w:t>Performance tuning and monitoring</w:t>
      </w:r>
    </w:p>
    <w:p>
      <w:pPr>
        <w:pStyle w:val="ListBullet"/>
        <w:spacing w:after="60"/>
      </w:pPr>
      <w:r>
        <w:rPr>
          <w:color w:val="1F2937"/>
          <w:sz w:val="21"/>
        </w:rPr>
        <w:t>Security and compliance improvements</w:t>
      </w:r>
    </w:p>
    <w:p>
      <w:pPr>
        <w:pStyle w:val="ListBullet"/>
        <w:spacing w:after="60"/>
      </w:pPr>
      <w:r>
        <w:rPr>
          <w:color w:val="1F2937"/>
          <w:sz w:val="21"/>
        </w:rPr>
        <w:t>Ongoing sprint-based enhancements</w:t>
      </w:r>
    </w:p>
    <w:p>
      <w:pPr>
        <w:spacing w:after="60"/>
      </w:pPr>
      <w:r>
        <w:rPr>
          <w:b/>
          <w:color w:val="1F2937"/>
          <w:sz w:val="21"/>
        </w:rPr>
        <w:t xml:space="preserve">Estimated Timeline: </w:t>
      </w:r>
      <w:r>
        <w:rPr>
          <w:color w:val="1F2937"/>
          <w:sz w:val="21"/>
        </w:rPr>
        <w:t>Rolling monthly/quarterly</w:t>
      </w:r>
    </w:p>
    <w:p>
      <w:pPr>
        <w:spacing w:after="60"/>
      </w:pPr>
      <w:r>
        <w:rPr>
          <w:b/>
          <w:color w:val="1F2937"/>
          <w:sz w:val="21"/>
        </w:rPr>
        <w:t xml:space="preserve">Investment Range: </w:t>
      </w:r>
      <w:r>
        <w:rPr>
          <w:i/>
          <w:color w:val="B42C0C"/>
          <w:sz w:val="21"/>
        </w:rPr>
        <w:t>[Insert range]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Engagement Model Options</w:t>
      </w:r>
    </w:p>
    <w:p>
      <w:pPr>
        <w:pStyle w:val="ListBullet"/>
        <w:spacing w:after="60"/>
      </w:pPr>
      <w:r>
        <w:rPr>
          <w:color w:val="1F2937"/>
          <w:sz w:val="21"/>
        </w:rPr>
        <w:t>Fixed-Price Project: Defined scope, fixed budget</w:t>
      </w:r>
    </w:p>
    <w:p>
      <w:pPr>
        <w:pStyle w:val="ListBullet"/>
        <w:spacing w:after="60"/>
      </w:pPr>
      <w:r>
        <w:rPr>
          <w:color w:val="1F2937"/>
          <w:sz w:val="21"/>
        </w:rPr>
        <w:t>Agile Retainer: Flexible scope, continuous delivery</w:t>
      </w:r>
    </w:p>
    <w:p>
      <w:pPr>
        <w:pStyle w:val="ListBullet"/>
        <w:spacing w:after="60"/>
      </w:pPr>
      <w:r>
        <w:rPr>
          <w:color w:val="1F2937"/>
          <w:sz w:val="21"/>
        </w:rPr>
        <w:t>Dedicated Team: Embedded long-term team support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Optional Add-Ons</w:t>
      </w:r>
    </w:p>
    <w:p>
      <w:pPr>
        <w:pStyle w:val="ListBullet"/>
        <w:spacing w:after="60"/>
      </w:pPr>
      <w:r>
        <w:rPr>
          <w:color w:val="1F2937"/>
          <w:sz w:val="21"/>
        </w:rPr>
        <w:t>CTO-as-a-Service</w:t>
      </w:r>
    </w:p>
    <w:p>
      <w:pPr>
        <w:pStyle w:val="ListBullet"/>
        <w:spacing w:after="60"/>
      </w:pPr>
      <w:r>
        <w:rPr>
          <w:color w:val="1F2937"/>
          <w:sz w:val="21"/>
        </w:rPr>
        <w:t>Security and compliance audit</w:t>
      </w:r>
    </w:p>
    <w:p>
      <w:pPr>
        <w:pStyle w:val="ListBullet"/>
        <w:spacing w:after="60"/>
      </w:pPr>
      <w:r>
        <w:rPr>
          <w:color w:val="1F2937"/>
          <w:sz w:val="21"/>
        </w:rPr>
        <w:t>Advanced analytics and reporting</w:t>
      </w:r>
    </w:p>
    <w:p>
      <w:pPr>
        <w:pStyle w:val="ListBullet"/>
        <w:spacing w:after="60"/>
      </w:pPr>
      <w:r>
        <w:rPr>
          <w:color w:val="1F2937"/>
          <w:sz w:val="21"/>
        </w:rPr>
        <w:t>Team training and documentation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Notes</w:t>
      </w:r>
    </w:p>
    <w:p>
      <w:pPr>
        <w:pStyle w:val="ListBullet"/>
        <w:spacing w:after="60"/>
      </w:pPr>
      <w:r>
        <w:rPr>
          <w:color w:val="1F2937"/>
          <w:sz w:val="21"/>
        </w:rPr>
        <w:t>All packages should include clear deliverables and acceptance criteria.</w:t>
      </w:r>
    </w:p>
    <w:p>
      <w:pPr>
        <w:pStyle w:val="ListBullet"/>
        <w:spacing w:after="60"/>
      </w:pPr>
      <w:r>
        <w:rPr>
          <w:color w:val="1F2937"/>
          <w:sz w:val="21"/>
        </w:rPr>
        <w:t>Use placeholders for regulatory or financial details until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