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spacing w:before="720" w:after="160"/>
        <w:jc w:val="center"/>
        <w:rPr/>
      </w:pPr>
      <w:r>
        <w:rPr/>
        <w:drawing>
          <wp:inline distL="0" distT="0" distB="0" distR="0">
            <wp:extent cx="2926080" cy="1457795"/>
            <wp:effectExtent l="0" t="0" r="0" b="0"/>
            <wp:docPr id="1026" name="Picture 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 cstate="print"/>
                    <a:srcRect l="0" t="0" r="0" b="0"/>
                    <a:stretch/>
                  </pic:blipFill>
                  <pic:spPr>
                    <a:xfrm rot="0">
                      <a:off x="0" y="0"/>
                      <a:ext cx="2926080" cy="1457795"/>
                    </a:xfrm>
                    <a:prstGeom prst="rect"/>
                  </pic:spPr>
                </pic:pic>
              </a:graphicData>
            </a:graphic>
          </wp:inline>
        </w:drawing>
      </w:r>
    </w:p>
    <w:p>
      <w:pPr>
        <w:pStyle w:val="style0"/>
        <w:jc w:val="center"/>
        <w:rPr/>
      </w:pPr>
      <w:r>
        <w:rPr>
          <w:rFonts w:ascii="Georgia" w:hAnsi="Georgia"/>
          <w:color w:val="3a3a3a"/>
          <w:sz w:val="26"/>
        </w:rPr>
        <w:t>Assignment Submission Cover Sheet</w:t>
      </w:r>
    </w:p>
    <w:p>
      <w:pPr>
        <w:pStyle w:val="style0"/>
        <w:pBdr>
          <w:bottom w:val="single" w:sz="6" w:space="1" w:color="cc3300"/>
        </w:pBdr>
        <w:spacing w:before="200" w:after="200"/>
        <w:rPr/>
      </w:pPr>
    </w:p>
    <w:p>
      <w:pPr>
        <w:pStyle w:val="style0"/>
        <w:spacing w:before="260" w:after="0"/>
        <w:rPr/>
      </w:pPr>
      <w:r>
        <w:rPr>
          <w:rFonts w:ascii="Georgia" w:hAnsi="Georgia"/>
          <w:b/>
          <w:sz w:val="24"/>
        </w:rPr>
        <w:t xml:space="preserve">Candidate Number      </w:t>
      </w:r>
      <w:r>
        <w:rPr>
          <w:rFonts w:ascii="Georgia" w:hAnsi="Georgia"/>
          <w:sz w:val="24"/>
          <w:u w:val="single"/>
        </w:rPr>
        <w:t>2024MN5812001</w:t>
      </w:r>
    </w:p>
    <w:p>
      <w:pPr>
        <w:pStyle w:val="style0"/>
        <w:spacing w:before="260" w:after="0"/>
        <w:rPr/>
      </w:pPr>
      <w:r>
        <w:rPr>
          <w:rFonts w:ascii="Georgia" w:hAnsi="Georgia"/>
          <w:b/>
          <w:sz w:val="24"/>
        </w:rPr>
        <w:t xml:space="preserve">Year                  </w:t>
      </w:r>
      <w:r>
        <w:rPr>
          <w:rFonts w:ascii="Georgia" w:hAnsi="Georgia"/>
          <w:sz w:val="24"/>
          <w:u w:val="single"/>
        </w:rPr>
        <w:t>2025 / 26</w:t>
      </w:r>
    </w:p>
    <w:p>
      <w:pPr>
        <w:pStyle w:val="style0"/>
        <w:spacing w:before="260" w:after="0"/>
        <w:rPr/>
      </w:pPr>
      <w:r>
        <w:rPr>
          <w:rFonts w:ascii="Georgia" w:hAnsi="Georgia"/>
          <w:b/>
          <w:sz w:val="24"/>
        </w:rPr>
        <w:t xml:space="preserve">Course Code           </w:t>
      </w:r>
      <w:r>
        <w:rPr>
          <w:rFonts w:ascii="Georgia" w:hAnsi="Georgia"/>
          <w:sz w:val="24"/>
          <w:u w:val="single"/>
        </w:rPr>
        <w:t>MN5812</w:t>
      </w:r>
    </w:p>
    <w:p>
      <w:pPr>
        <w:pStyle w:val="style0"/>
        <w:spacing w:before="260" w:after="0"/>
        <w:rPr/>
      </w:pPr>
      <w:r>
        <w:rPr>
          <w:rFonts w:ascii="Georgia" w:hAnsi="Georgia"/>
          <w:b/>
          <w:sz w:val="24"/>
        </w:rPr>
        <w:t xml:space="preserve">Course Tutor          </w:t>
      </w:r>
      <w:r>
        <w:rPr>
          <w:rFonts w:ascii="Georgia" w:hAnsi="Georgia"/>
          <w:sz w:val="24"/>
          <w:u w:val="single"/>
        </w:rPr>
        <w:t>Dr. J. Harrison</w:t>
      </w:r>
    </w:p>
    <w:p>
      <w:pPr>
        <w:pStyle w:val="style0"/>
        <w:spacing w:before="260" w:after="0"/>
        <w:rPr/>
      </w:pPr>
      <w:r>
        <w:rPr>
          <w:rFonts w:ascii="Georgia" w:hAnsi="Georgia"/>
          <w:b/>
          <w:sz w:val="24"/>
        </w:rPr>
        <w:t xml:space="preserve">Assignment No.        </w:t>
      </w:r>
      <w:r>
        <w:rPr>
          <w:rFonts w:ascii="Georgia" w:hAnsi="Georgia"/>
          <w:sz w:val="24"/>
          <w:u w:val="single"/>
        </w:rPr>
        <w:t>1</w:t>
      </w:r>
    </w:p>
    <w:p>
      <w:pPr>
        <w:pStyle w:val="style0"/>
        <w:spacing w:before="260" w:after="0"/>
        <w:rPr/>
      </w:pPr>
      <w:r>
        <w:rPr>
          <w:rFonts w:ascii="Georgia" w:hAnsi="Georgia"/>
          <w:b/>
          <w:sz w:val="24"/>
        </w:rPr>
        <w:t xml:space="preserve">Degree Title          </w:t>
      </w:r>
      <w:r>
        <w:rPr>
          <w:rFonts w:ascii="Georgia" w:hAnsi="Georgia"/>
          <w:sz w:val="24"/>
          <w:u w:val="single"/>
        </w:rPr>
        <w:t>MSc Business Analytics</w:t>
      </w:r>
    </w:p>
    <w:p>
      <w:pPr>
        <w:pStyle w:val="style0"/>
        <w:spacing w:before="260" w:after="0"/>
        <w:rPr/>
      </w:pPr>
      <w:r>
        <w:rPr>
          <w:rFonts w:ascii="Georgia" w:hAnsi="Georgia"/>
          <w:b/>
          <w:sz w:val="24"/>
        </w:rPr>
        <w:t xml:space="preserve">Assignment Title      </w:t>
      </w:r>
      <w:r>
        <w:rPr>
          <w:rFonts w:ascii="Georgia" w:hAnsi="Georgia"/>
          <w:sz w:val="24"/>
          <w:u w:val="single"/>
        </w:rPr>
        <w:t>MN5812 Machine Learning &amp; Predictive Analytics  --  Hospital Stay Duration Case Study</w:t>
      </w:r>
    </w:p>
    <w:p>
      <w:pPr>
        <w:pStyle w:val="style0"/>
        <w:rPr/>
      </w:pPr>
    </w:p>
    <w:p>
      <w:pPr>
        <w:pStyle w:val="style0"/>
        <w:spacing w:before="560"/>
        <w:rPr/>
      </w:pPr>
      <w:r>
        <w:rPr>
          <w:rFonts w:ascii="Georgia" w:hAnsi="Georgia"/>
          <w:i/>
          <w:sz w:val="20"/>
        </w:rPr>
        <w:t>Declaration:  This is my own work and I haven't put it in for any other assessment. I've read through the University's Academic Integrity Policy and I know what it requires of me.</w:t>
      </w:r>
    </w:p>
    <w:p>
      <w:pPr>
        <w:pStyle w:val="style0"/>
        <w:spacing w:before="480"/>
        <w:rPr/>
      </w:pPr>
      <w:r>
        <w:rPr>
          <w:rFonts w:ascii="Georgia" w:hAnsi="Georgia"/>
          <w:sz w:val="22"/>
        </w:rPr>
        <w:t>Signature: _______________________________     Date: 12 March 2026</w:t>
      </w:r>
    </w:p>
    <w:p>
      <w:pPr>
        <w:pStyle w:val="style0"/>
        <w:rPr/>
      </w:pPr>
      <w:r>
        <w:br w:type="page"/>
      </w:r>
    </w:p>
    <w:p>
      <w:pPr>
        <w:pStyle w:val="style0"/>
        <w:spacing w:before="1200"/>
        <w:jc w:val="center"/>
        <w:rPr/>
      </w:pPr>
      <w:r>
        <w:rPr>
          <w:rFonts w:ascii="Georgia" w:hAnsi="Georgia"/>
          <w:b/>
          <w:color w:val="005eb8"/>
          <w:sz w:val="48"/>
        </w:rPr>
        <w:t>Hospital Stay Duration Case Study</w:t>
      </w:r>
    </w:p>
    <w:p>
      <w:pPr>
        <w:pStyle w:val="style0"/>
        <w:jc w:val="center"/>
        <w:rPr/>
      </w:pPr>
      <w:r>
        <w:rPr>
          <w:rFonts w:ascii="Georgia" w:hAnsi="Georgia"/>
          <w:color w:val="425263"/>
          <w:sz w:val="28"/>
        </w:rPr>
        <w:t>MN5812 Machine Learning &amp; Predictive Analytics</w:t>
      </w:r>
    </w:p>
    <w:p>
      <w:pPr>
        <w:pStyle w:val="style0"/>
        <w:spacing w:before="80"/>
        <w:jc w:val="center"/>
        <w:rPr/>
      </w:pPr>
      <w:r>
        <w:rPr>
          <w:rFonts w:ascii="Georgia" w:hAnsi="Georgia"/>
          <w:i/>
          <w:color w:val="425263"/>
          <w:sz w:val="24"/>
        </w:rPr>
        <w:t>Report prepared for the NHS Chief Executive</w:t>
      </w:r>
    </w:p>
    <w:p>
      <w:pPr>
        <w:pStyle w:val="style0"/>
        <w:rPr/>
      </w:pPr>
    </w:p>
    <w:p>
      <w:pPr>
        <w:pStyle w:val="style0"/>
        <w:rPr/>
      </w:pPr>
    </w:p>
    <w:p>
      <w:pPr>
        <w:pStyle w:val="style0"/>
        <w:jc w:val="center"/>
        <w:rPr/>
      </w:pPr>
      <w:r>
        <w:rPr>
          <w:rFonts w:ascii="Georgia" w:hAnsi="Georgia"/>
          <w:b/>
          <w:color w:val="003087"/>
          <w:sz w:val="22"/>
        </w:rPr>
        <w:t xml:space="preserve">Candidate Number:  </w:t>
      </w:r>
      <w:r>
        <w:rPr>
          <w:rFonts w:ascii="Georgia" w:hAnsi="Georgia"/>
          <w:sz w:val="22"/>
        </w:rPr>
        <w:t>2024MN5812001</w:t>
      </w:r>
    </w:p>
    <w:p>
      <w:pPr>
        <w:pStyle w:val="style0"/>
        <w:jc w:val="center"/>
        <w:rPr/>
      </w:pPr>
      <w:r>
        <w:rPr>
          <w:rFonts w:ascii="Georgia" w:hAnsi="Georgia"/>
          <w:b/>
          <w:color w:val="003087"/>
          <w:sz w:val="22"/>
        </w:rPr>
        <w:t xml:space="preserve">Date:  </w:t>
      </w:r>
      <w:r>
        <w:rPr>
          <w:rFonts w:ascii="Georgia" w:hAnsi="Georgia"/>
          <w:sz w:val="22"/>
        </w:rPr>
        <w:t>12 March 2026</w:t>
      </w:r>
    </w:p>
    <w:p>
      <w:pPr>
        <w:pStyle w:val="style0"/>
        <w:jc w:val="center"/>
        <w:rPr/>
      </w:pPr>
      <w:r>
        <w:rPr>
          <w:rFonts w:ascii="Georgia" w:hAnsi="Georgia"/>
          <w:b/>
          <w:color w:val="003087"/>
          <w:sz w:val="22"/>
        </w:rPr>
        <w:t xml:space="preserve">Word Count:  </w:t>
      </w:r>
      <w:r>
        <w:rPr>
          <w:rFonts w:ascii="Georgia" w:hAnsi="Georgia"/>
          <w:sz w:val="22"/>
        </w:rPr>
        <w:t>approx. 990 (body text, headings excluded)</w:t>
      </w:r>
    </w:p>
    <w:p>
      <w:pPr>
        <w:pStyle w:val="style0"/>
        <w:jc w:val="center"/>
        <w:rPr/>
      </w:pPr>
      <w:r>
        <w:rPr>
          <w:rFonts w:ascii="Georgia" w:hAnsi="Georgia"/>
          <w:b/>
          <w:color w:val="003087"/>
          <w:sz w:val="22"/>
        </w:rPr>
        <w:t xml:space="preserve">Classification:  </w:t>
      </w:r>
      <w:r>
        <w:rPr>
          <w:rFonts w:ascii="Georgia" w:hAnsi="Georgia"/>
          <w:sz w:val="22"/>
        </w:rPr>
        <w:t>CONFIDENTIAL</w:t>
      </w:r>
    </w:p>
    <w:p>
      <w:pPr>
        <w:pStyle w:val="style0"/>
        <w:rPr/>
      </w:pPr>
      <w:r>
        <w:br w:type="page"/>
      </w:r>
    </w:p>
    <w:p>
      <w:pPr>
        <w:pStyle w:val="style0"/>
        <w:spacing w:before="280" w:after="60"/>
        <w:rPr/>
      </w:pPr>
      <w:r>
        <w:rPr>
          <w:rFonts w:ascii="Georgia" w:hAnsi="Georgia"/>
          <w:b/>
          <w:color w:val="005eb8"/>
          <w:sz w:val="28"/>
        </w:rPr>
        <w:t>1. Executive Summary</w:t>
      </w:r>
    </w:p>
    <w:p>
      <w:pPr>
        <w:pStyle w:val="style0"/>
        <w:spacing w:after="120"/>
        <w:rPr/>
      </w:pPr>
      <w:r>
        <w:rPr>
          <w:rFonts w:ascii="Georgia" w:hAnsi="Georgia"/>
          <w:sz w:val="22"/>
        </w:rPr>
        <w:t>A discharge-prediction model was created using four NHS datasets (982 surgical records after everything was combined) of which they had 982 records. Linear Regression proved to be the victor. The holdout set RMSE was 0.59 days; the model accounted for 78% of the LOS variation and CV 5 times made the case that was no accident. The average predicted stay of the 15 patients at the ward is 3.53 days. There are four short-stay and eleven medium. None are marking as long-stay risk.</w:t>
      </w:r>
    </w:p>
    <w:p>
      <w:pPr>
        <w:pStyle w:val="style0"/>
        <w:spacing w:before="280" w:after="60"/>
        <w:rPr/>
      </w:pPr>
      <w:r>
        <w:rPr>
          <w:rFonts w:ascii="Georgia" w:hAnsi="Georgia"/>
          <w:b/>
          <w:color w:val="005eb8"/>
          <w:sz w:val="28"/>
        </w:rPr>
        <w:t>2. Data Analyses Performed</w:t>
      </w:r>
    </w:p>
    <w:p>
      <w:pPr>
        <w:pStyle w:val="style0"/>
        <w:spacing w:before="160" w:after="40"/>
        <w:rPr/>
      </w:pPr>
      <w:r>
        <w:rPr>
          <w:rFonts w:ascii="Georgia" w:hAnsi="Georgia"/>
          <w:b/>
          <w:color w:val="425263"/>
          <w:sz w:val="24"/>
        </w:rPr>
        <w:t>2.1  Exploratory Analysis</w:t>
      </w:r>
    </w:p>
    <w:p>
      <w:pPr>
        <w:pStyle w:val="style0"/>
        <w:spacing w:after="120"/>
        <w:rPr/>
      </w:pPr>
      <w:r>
        <w:rPr>
          <w:rFonts w:ascii="Georgia" w:hAnsi="Georgia"/>
          <w:sz w:val="22"/>
        </w:rPr>
        <w:t>A patient Information (992 records) was then inner-joined with the Surgical Information (982 records) - ten records which had no surgery entry were discarded. Descriptions of ICD-10 were included as a look-up table. LOS became almost symmetrical, with a mean of 3.61 days, skewness of almost 0.03. It is that near-normality which made regression the correct decision as compared to classification.</w:t>
      </w:r>
    </w:p>
    <w:p>
      <w:pPr>
        <w:pStyle w:val="style0"/>
        <w:spacing w:after="120"/>
        <w:rPr/>
      </w:pPr>
      <w:r>
        <w:rPr>
          <w:rFonts w:ascii="Georgia" w:hAnsi="Georgia"/>
          <w:sz w:val="22"/>
        </w:rPr>
        <w:t>Correlation analysis revealed that there was one dominant finding which was that ambulation time follows LOS with Pearson r = 0.79. Age, day of week, and Month of admission were all under 0.06- present but operationally insignificant. Distribution of procedures with the longest median stays is the insertion procedures; the most widespread distribution is the Removal, and the discharge planning is directly impacted.</w:t>
      </w:r>
    </w:p>
    <w:p>
      <w:pPr>
        <w:pStyle w:val="style0"/>
        <w:spacing w:after="120"/>
        <w:rPr>
          <w:b/>
          <w:bCs/>
        </w:rPr>
      </w:pPr>
      <w:r>
        <w:rPr>
          <w:rFonts w:ascii="Georgia" w:hAnsi="Georgia"/>
          <w:b/>
          <w:bCs/>
          <w:sz w:val="22"/>
        </w:rPr>
        <w:t>2.2  Modelling Approach</w:t>
      </w:r>
    </w:p>
    <w:p>
      <w:pPr>
        <w:pStyle w:val="style0"/>
        <w:spacing w:after="120"/>
        <w:rPr/>
      </w:pPr>
      <w:r>
        <w:rPr>
          <w:rFonts w:ascii="Georgia" w:hAnsi="Georgia"/>
          <w:sz w:val="22"/>
        </w:rPr>
        <w:t>There was an 80/20 split on 5-fold CV of five models (785 training, 197 test, seed 42) using Linear Regression, Ridge (L2-regularised) and Decision Tree, Random Forest (200 trees) and Gradient Boosting (200 estimators, lr 0.05). Regression was more appropriate than classification, LOS is approximately normal and you require bed-day accuracy and not wide risk bins.</w:t>
      </w:r>
    </w:p>
    <w:p>
      <w:pPr>
        <w:pStyle w:val="style0"/>
        <w:spacing w:before="160" w:after="40"/>
        <w:rPr/>
      </w:pPr>
      <w:r>
        <w:rPr>
          <w:rFonts w:ascii="Georgia" w:hAnsi="Georgia"/>
          <w:b/>
          <w:color w:val="425263"/>
          <w:sz w:val="24"/>
        </w:rPr>
        <w:t>2.3  Model Results</w:t>
      </w:r>
    </w:p>
    <w:tbl>
      <w:tblPr>
        <w:tblStyle w:val="style154"/>
        <w:tblW w:w="0" w:type="auto"/>
        <w:tblLook w:val="04A0" w:firstRow="1" w:lastRow="0" w:firstColumn="1" w:lastColumn="0" w:noHBand="0" w:noVBand="1"/>
      </w:tblPr>
      <w:tblGrid>
        <w:gridCol w:w="1806"/>
        <w:gridCol w:w="1806"/>
        <w:gridCol w:w="1806"/>
        <w:gridCol w:w="1806"/>
        <w:gridCol w:w="1806"/>
      </w:tblGrid>
      <w:tr>
        <w:trPr/>
        <w:tc>
          <w:tcPr>
            <w:tcW w:w="1806" w:type="dxa"/>
            <w:tcBorders/>
            <w:shd w:val="clear" w:color="auto" w:fill="005eb8"/>
          </w:tcPr>
          <w:p>
            <w:pPr>
              <w:pStyle w:val="style0"/>
              <w:rPr/>
            </w:pPr>
            <w:r>
              <w:rPr>
                <w:rFonts w:ascii="Georgia" w:hAnsi="Georgia"/>
                <w:b/>
                <w:color w:val="ffffff"/>
                <w:sz w:val="20"/>
              </w:rPr>
              <w:t>Model</w:t>
            </w:r>
          </w:p>
        </w:tc>
        <w:tc>
          <w:tcPr>
            <w:tcW w:w="1806" w:type="dxa"/>
            <w:tcBorders/>
            <w:shd w:val="clear" w:color="auto" w:fill="005eb8"/>
          </w:tcPr>
          <w:p>
            <w:pPr>
              <w:pStyle w:val="style0"/>
              <w:rPr/>
            </w:pPr>
            <w:r>
              <w:rPr>
                <w:rFonts w:ascii="Georgia" w:hAnsi="Georgia"/>
                <w:b/>
                <w:color w:val="ffffff"/>
                <w:sz w:val="20"/>
              </w:rPr>
              <w:t>RMSE</w:t>
            </w:r>
          </w:p>
        </w:tc>
        <w:tc>
          <w:tcPr>
            <w:tcW w:w="1806" w:type="dxa"/>
            <w:tcBorders/>
            <w:shd w:val="clear" w:color="auto" w:fill="005eb8"/>
          </w:tcPr>
          <w:p>
            <w:pPr>
              <w:pStyle w:val="style0"/>
              <w:rPr/>
            </w:pPr>
            <w:r>
              <w:rPr>
                <w:rFonts w:ascii="Georgia" w:hAnsi="Georgia"/>
                <w:b/>
                <w:color w:val="ffffff"/>
                <w:sz w:val="20"/>
              </w:rPr>
              <w:t>MAE</w:t>
            </w:r>
          </w:p>
        </w:tc>
        <w:tc>
          <w:tcPr>
            <w:tcW w:w="1806" w:type="dxa"/>
            <w:tcBorders/>
            <w:shd w:val="clear" w:color="auto" w:fill="005eb8"/>
          </w:tcPr>
          <w:p>
            <w:pPr>
              <w:pStyle w:val="style0"/>
              <w:rPr/>
            </w:pPr>
            <w:r>
              <w:rPr>
                <w:rFonts w:ascii="Georgia" w:hAnsi="Georgia"/>
                <w:b/>
                <w:color w:val="ffffff"/>
                <w:sz w:val="20"/>
              </w:rPr>
              <w:t>R²</w:t>
            </w:r>
          </w:p>
        </w:tc>
        <w:tc>
          <w:tcPr>
            <w:tcW w:w="1806" w:type="dxa"/>
            <w:tcBorders/>
            <w:shd w:val="clear" w:color="auto" w:fill="005eb8"/>
          </w:tcPr>
          <w:p>
            <w:pPr>
              <w:pStyle w:val="style0"/>
              <w:rPr/>
            </w:pPr>
            <w:r>
              <w:rPr>
                <w:rFonts w:ascii="Georgia" w:hAnsi="Georgia"/>
                <w:b/>
                <w:color w:val="ffffff"/>
                <w:sz w:val="20"/>
              </w:rPr>
              <w:t>CV R²</w:t>
            </w:r>
          </w:p>
        </w:tc>
      </w:tr>
      <w:tr>
        <w:tblPrEx/>
        <w:trPr/>
        <w:tc>
          <w:tcPr>
            <w:tcW w:w="1806" w:type="dxa"/>
            <w:tcBorders/>
          </w:tcPr>
          <w:p>
            <w:pPr>
              <w:pStyle w:val="style0"/>
              <w:rPr/>
            </w:pPr>
            <w:r>
              <w:rPr>
                <w:rFonts w:ascii="Georgia" w:hAnsi="Georgia"/>
                <w:b/>
                <w:sz w:val="20"/>
              </w:rPr>
              <w:t>Linear Regression</w:t>
            </w:r>
          </w:p>
        </w:tc>
        <w:tc>
          <w:tcPr>
            <w:tcW w:w="1806" w:type="dxa"/>
            <w:tcBorders/>
          </w:tcPr>
          <w:p>
            <w:pPr>
              <w:pStyle w:val="style0"/>
              <w:rPr/>
            </w:pPr>
            <w:r>
              <w:rPr>
                <w:rFonts w:ascii="Georgia" w:hAnsi="Georgia"/>
                <w:b/>
                <w:sz w:val="20"/>
              </w:rPr>
              <w:t>0.5912</w:t>
            </w:r>
          </w:p>
        </w:tc>
        <w:tc>
          <w:tcPr>
            <w:tcW w:w="1806" w:type="dxa"/>
            <w:tcBorders/>
          </w:tcPr>
          <w:p>
            <w:pPr>
              <w:pStyle w:val="style0"/>
              <w:rPr/>
            </w:pPr>
            <w:r>
              <w:rPr>
                <w:rFonts w:ascii="Georgia" w:hAnsi="Georgia"/>
                <w:b/>
                <w:sz w:val="20"/>
              </w:rPr>
              <w:t>0.4559</w:t>
            </w:r>
          </w:p>
        </w:tc>
        <w:tc>
          <w:tcPr>
            <w:tcW w:w="1806" w:type="dxa"/>
            <w:tcBorders/>
          </w:tcPr>
          <w:p>
            <w:pPr>
              <w:pStyle w:val="style0"/>
              <w:rPr/>
            </w:pPr>
            <w:r>
              <w:rPr>
                <w:rFonts w:ascii="Georgia" w:hAnsi="Georgia"/>
                <w:b/>
                <w:sz w:val="20"/>
              </w:rPr>
              <w:t>0.7789</w:t>
            </w:r>
          </w:p>
        </w:tc>
        <w:tc>
          <w:tcPr>
            <w:tcW w:w="1806" w:type="dxa"/>
            <w:tcBorders/>
          </w:tcPr>
          <w:p>
            <w:pPr>
              <w:pStyle w:val="style0"/>
              <w:rPr/>
            </w:pPr>
            <w:r>
              <w:rPr>
                <w:rFonts w:ascii="Georgia" w:hAnsi="Georgia"/>
                <w:b/>
                <w:sz w:val="20"/>
              </w:rPr>
              <w:t>0.7781</w:t>
            </w:r>
          </w:p>
        </w:tc>
      </w:tr>
      <w:tr>
        <w:tblPrEx/>
        <w:trPr/>
        <w:tc>
          <w:tcPr>
            <w:tcW w:w="1806" w:type="dxa"/>
            <w:tcBorders/>
          </w:tcPr>
          <w:p>
            <w:pPr>
              <w:pStyle w:val="style0"/>
              <w:rPr/>
            </w:pPr>
            <w:r>
              <w:rPr>
                <w:rFonts w:ascii="Georgia" w:hAnsi="Georgia"/>
                <w:sz w:val="20"/>
              </w:rPr>
              <w:t>Ridge Regression</w:t>
            </w:r>
          </w:p>
        </w:tc>
        <w:tc>
          <w:tcPr>
            <w:tcW w:w="1806" w:type="dxa"/>
            <w:tcBorders/>
          </w:tcPr>
          <w:p>
            <w:pPr>
              <w:pStyle w:val="style0"/>
              <w:rPr/>
            </w:pPr>
            <w:r>
              <w:rPr>
                <w:rFonts w:ascii="Georgia" w:hAnsi="Georgia"/>
                <w:sz w:val="20"/>
              </w:rPr>
              <w:t>0.5930</w:t>
            </w:r>
          </w:p>
        </w:tc>
        <w:tc>
          <w:tcPr>
            <w:tcW w:w="1806" w:type="dxa"/>
            <w:tcBorders/>
          </w:tcPr>
          <w:p>
            <w:pPr>
              <w:pStyle w:val="style0"/>
              <w:rPr/>
            </w:pPr>
            <w:r>
              <w:rPr>
                <w:rFonts w:ascii="Georgia" w:hAnsi="Georgia"/>
                <w:sz w:val="20"/>
              </w:rPr>
              <w:t>0.4580</w:t>
            </w:r>
          </w:p>
        </w:tc>
        <w:tc>
          <w:tcPr>
            <w:tcW w:w="1806" w:type="dxa"/>
            <w:tcBorders/>
          </w:tcPr>
          <w:p>
            <w:pPr>
              <w:pStyle w:val="style0"/>
              <w:rPr/>
            </w:pPr>
            <w:r>
              <w:rPr>
                <w:rFonts w:ascii="Georgia" w:hAnsi="Georgia"/>
                <w:sz w:val="20"/>
              </w:rPr>
              <w:t>0.7776</w:t>
            </w:r>
          </w:p>
        </w:tc>
        <w:tc>
          <w:tcPr>
            <w:tcW w:w="1806" w:type="dxa"/>
            <w:tcBorders/>
          </w:tcPr>
          <w:p>
            <w:pPr>
              <w:pStyle w:val="style0"/>
              <w:rPr/>
            </w:pPr>
            <w:r>
              <w:rPr>
                <w:rFonts w:ascii="Georgia" w:hAnsi="Georgia"/>
                <w:sz w:val="20"/>
              </w:rPr>
              <w:t>0.7785</w:t>
            </w:r>
          </w:p>
        </w:tc>
      </w:tr>
      <w:tr>
        <w:tblPrEx/>
        <w:trPr/>
        <w:tc>
          <w:tcPr>
            <w:tcW w:w="1806" w:type="dxa"/>
            <w:tcBorders/>
          </w:tcPr>
          <w:p>
            <w:pPr>
              <w:pStyle w:val="style0"/>
              <w:rPr/>
            </w:pPr>
            <w:r>
              <w:rPr>
                <w:rFonts w:ascii="Georgia" w:hAnsi="Georgia"/>
                <w:sz w:val="20"/>
              </w:rPr>
              <w:t>Gradient Boosting</w:t>
            </w:r>
          </w:p>
        </w:tc>
        <w:tc>
          <w:tcPr>
            <w:tcW w:w="1806" w:type="dxa"/>
            <w:tcBorders/>
          </w:tcPr>
          <w:p>
            <w:pPr>
              <w:pStyle w:val="style0"/>
              <w:rPr/>
            </w:pPr>
            <w:r>
              <w:rPr>
                <w:rFonts w:ascii="Georgia" w:hAnsi="Georgia"/>
                <w:sz w:val="20"/>
              </w:rPr>
              <w:t>0.5938</w:t>
            </w:r>
          </w:p>
        </w:tc>
        <w:tc>
          <w:tcPr>
            <w:tcW w:w="1806" w:type="dxa"/>
            <w:tcBorders/>
          </w:tcPr>
          <w:p>
            <w:pPr>
              <w:pStyle w:val="style0"/>
              <w:rPr/>
            </w:pPr>
            <w:r>
              <w:rPr>
                <w:rFonts w:ascii="Georgia" w:hAnsi="Georgia"/>
                <w:sz w:val="20"/>
              </w:rPr>
              <w:t>0.4594</w:t>
            </w:r>
          </w:p>
        </w:tc>
        <w:tc>
          <w:tcPr>
            <w:tcW w:w="1806" w:type="dxa"/>
            <w:tcBorders/>
          </w:tcPr>
          <w:p>
            <w:pPr>
              <w:pStyle w:val="style0"/>
              <w:rPr/>
            </w:pPr>
            <w:r>
              <w:rPr>
                <w:rFonts w:ascii="Georgia" w:hAnsi="Georgia"/>
                <w:sz w:val="20"/>
              </w:rPr>
              <w:t>0.7770</w:t>
            </w:r>
          </w:p>
        </w:tc>
        <w:tc>
          <w:tcPr>
            <w:tcW w:w="1806" w:type="dxa"/>
            <w:tcBorders/>
          </w:tcPr>
          <w:p>
            <w:pPr>
              <w:pStyle w:val="style0"/>
              <w:rPr/>
            </w:pPr>
            <w:r>
              <w:rPr>
                <w:rFonts w:ascii="Georgia" w:hAnsi="Georgia"/>
                <w:sz w:val="20"/>
              </w:rPr>
              <w:t>0.7690</w:t>
            </w:r>
          </w:p>
        </w:tc>
      </w:tr>
      <w:tr>
        <w:tblPrEx/>
        <w:trPr/>
        <w:tc>
          <w:tcPr>
            <w:tcW w:w="1806" w:type="dxa"/>
            <w:tcBorders/>
          </w:tcPr>
          <w:p>
            <w:pPr>
              <w:pStyle w:val="style0"/>
              <w:rPr/>
            </w:pPr>
            <w:r>
              <w:rPr>
                <w:rFonts w:ascii="Georgia" w:hAnsi="Georgia"/>
                <w:sz w:val="20"/>
              </w:rPr>
              <w:t>Random Forest</w:t>
            </w:r>
          </w:p>
        </w:tc>
        <w:tc>
          <w:tcPr>
            <w:tcW w:w="1806" w:type="dxa"/>
            <w:tcBorders/>
          </w:tcPr>
          <w:p>
            <w:pPr>
              <w:pStyle w:val="style0"/>
              <w:rPr/>
            </w:pPr>
            <w:r>
              <w:rPr>
                <w:rFonts w:ascii="Georgia" w:hAnsi="Georgia"/>
                <w:sz w:val="20"/>
              </w:rPr>
              <w:t>0.6057</w:t>
            </w:r>
          </w:p>
        </w:tc>
        <w:tc>
          <w:tcPr>
            <w:tcW w:w="1806" w:type="dxa"/>
            <w:tcBorders/>
          </w:tcPr>
          <w:p>
            <w:pPr>
              <w:pStyle w:val="style0"/>
              <w:rPr/>
            </w:pPr>
            <w:r>
              <w:rPr>
                <w:rFonts w:ascii="Georgia" w:hAnsi="Georgia"/>
                <w:sz w:val="20"/>
              </w:rPr>
              <w:t>0.4681</w:t>
            </w:r>
          </w:p>
        </w:tc>
        <w:tc>
          <w:tcPr>
            <w:tcW w:w="1806" w:type="dxa"/>
            <w:tcBorders/>
          </w:tcPr>
          <w:p>
            <w:pPr>
              <w:pStyle w:val="style0"/>
              <w:rPr/>
            </w:pPr>
            <w:r>
              <w:rPr>
                <w:rFonts w:ascii="Georgia" w:hAnsi="Georgia"/>
                <w:sz w:val="20"/>
              </w:rPr>
              <w:t>0.7680</w:t>
            </w:r>
          </w:p>
        </w:tc>
        <w:tc>
          <w:tcPr>
            <w:tcW w:w="1806" w:type="dxa"/>
            <w:tcBorders/>
          </w:tcPr>
          <w:p>
            <w:pPr>
              <w:pStyle w:val="style0"/>
              <w:rPr/>
            </w:pPr>
            <w:r>
              <w:rPr>
                <w:rFonts w:ascii="Georgia" w:hAnsi="Georgia"/>
                <w:sz w:val="20"/>
              </w:rPr>
              <w:t>0.7612</w:t>
            </w:r>
          </w:p>
        </w:tc>
      </w:tr>
      <w:tr>
        <w:tblPrEx/>
        <w:trPr/>
        <w:tc>
          <w:tcPr>
            <w:tcW w:w="1806" w:type="dxa"/>
            <w:tcBorders/>
          </w:tcPr>
          <w:p>
            <w:pPr>
              <w:pStyle w:val="style0"/>
              <w:rPr/>
            </w:pPr>
            <w:r>
              <w:rPr>
                <w:rFonts w:ascii="Georgia" w:hAnsi="Georgia"/>
                <w:sz w:val="20"/>
              </w:rPr>
              <w:t>Decision Tree</w:t>
            </w:r>
          </w:p>
        </w:tc>
        <w:tc>
          <w:tcPr>
            <w:tcW w:w="1806" w:type="dxa"/>
            <w:tcBorders/>
          </w:tcPr>
          <w:p>
            <w:pPr>
              <w:pStyle w:val="style0"/>
              <w:rPr/>
            </w:pPr>
            <w:r>
              <w:rPr>
                <w:rFonts w:ascii="Georgia" w:hAnsi="Georgia"/>
                <w:sz w:val="20"/>
              </w:rPr>
              <w:t>0.6612</w:t>
            </w:r>
          </w:p>
        </w:tc>
        <w:tc>
          <w:tcPr>
            <w:tcW w:w="1806" w:type="dxa"/>
            <w:tcBorders/>
          </w:tcPr>
          <w:p>
            <w:pPr>
              <w:pStyle w:val="style0"/>
              <w:rPr/>
            </w:pPr>
            <w:r>
              <w:rPr>
                <w:rFonts w:ascii="Georgia" w:hAnsi="Georgia"/>
                <w:sz w:val="20"/>
              </w:rPr>
              <w:t>0.4951</w:t>
            </w:r>
          </w:p>
        </w:tc>
        <w:tc>
          <w:tcPr>
            <w:tcW w:w="1806" w:type="dxa"/>
            <w:tcBorders/>
          </w:tcPr>
          <w:p>
            <w:pPr>
              <w:pStyle w:val="style0"/>
              <w:rPr/>
            </w:pPr>
            <w:r>
              <w:rPr>
                <w:rFonts w:ascii="Georgia" w:hAnsi="Georgia"/>
                <w:sz w:val="20"/>
              </w:rPr>
              <w:t>0.7234</w:t>
            </w:r>
          </w:p>
        </w:tc>
        <w:tc>
          <w:tcPr>
            <w:tcW w:w="1806" w:type="dxa"/>
            <w:tcBorders/>
          </w:tcPr>
          <w:p>
            <w:pPr>
              <w:pStyle w:val="style0"/>
              <w:rPr/>
            </w:pPr>
            <w:r>
              <w:rPr>
                <w:rFonts w:ascii="Georgia" w:hAnsi="Georgia"/>
                <w:sz w:val="20"/>
              </w:rPr>
              <w:t>0.7272</w:t>
            </w:r>
          </w:p>
        </w:tc>
      </w:tr>
    </w:tbl>
    <w:p>
      <w:pPr>
        <w:pStyle w:val="style0"/>
        <w:rPr/>
      </w:pPr>
    </w:p>
    <w:p>
      <w:pPr>
        <w:pStyle w:val="style0"/>
        <w:spacing w:after="120"/>
        <w:rPr/>
      </w:pPr>
      <w:r>
        <w:rPr>
          <w:rFonts w:ascii="Georgia" w:hAnsi="Georgia"/>
          <w:sz w:val="22"/>
        </w:rPr>
        <w:t>Linear Regression emerged the best. It was verified by the CV variance - smaller than Gradient Boosting (SD 0.036 vs 0.046). In cases where the main LOS driver is generally linear in any case, more complex models are not paid the price.</w:t>
      </w:r>
    </w:p>
    <w:p>
      <w:pPr>
        <w:pStyle w:val="style0"/>
        <w:spacing w:before="280" w:after="60"/>
        <w:rPr/>
      </w:pPr>
      <w:r>
        <w:rPr>
          <w:rFonts w:ascii="Georgia" w:hAnsi="Georgia"/>
          <w:b/>
          <w:color w:val="005eb8"/>
          <w:sz w:val="28"/>
        </w:rPr>
        <w:t>3. Choices and Assumptions</w:t>
      </w:r>
    </w:p>
    <w:p>
      <w:pPr>
        <w:pStyle w:val="style48"/>
        <w:rPr/>
      </w:pPr>
      <w:r>
        <w:rPr>
          <w:rFonts w:ascii="Georgia" w:hAnsi="Georgia"/>
          <w:sz w:val="22"/>
        </w:rPr>
        <w:t>Only the patients who have entered a real surgery are present in the model - that is accommodated with the inner join on Patient_ID. Any records, which did not have a surgery episode, were not considered and were audited.</w:t>
      </w:r>
    </w:p>
    <w:p>
      <w:pPr>
        <w:pStyle w:val="style48"/>
        <w:rPr/>
      </w:pPr>
      <w:r>
        <w:t>Also, all the data are not missing after the join and thus no imputation was required to train. The admission month and day-of-week of the 15 existing patients are not known but they are filled with the mode of training set (September, Wednesday). Unambiguous, and in accordance to Section 6.</w:t>
      </w:r>
    </w:p>
    <w:p>
      <w:pPr>
        <w:pStyle w:val="style48"/>
        <w:rPr/>
      </w:pPr>
      <w:r>
        <w:t>The original word of each ICD-10 description was Surgery Type - So removal of Autologous Tissue becomes removal. This conformed with the Current Patients column and, therefore, no manual mapping was needed.</w:t>
      </w:r>
    </w:p>
    <w:p>
      <w:pPr>
        <w:pStyle w:val="style48"/>
        <w:rPr/>
      </w:pPr>
      <w:r>
        <w:t>The IQR of 7.41 days LOS had one record that was not within its IQR. The complexity in high-stay cases reported by leaving it in it would give the model deceptive confidence, and removal would give it false confidence. One-hot coding of Gender and Surgery Type; they are not ordered in any natural way.</w:t>
      </w:r>
    </w:p>
    <w:p>
      <w:pPr>
        <w:pStyle w:val="style0"/>
        <w:spacing w:before="280" w:after="60"/>
        <w:rPr/>
      </w:pPr>
      <w:r>
        <w:rPr>
          <w:rFonts w:ascii="Georgia" w:hAnsi="Georgia"/>
          <w:b/>
          <w:color w:val="005eb8"/>
          <w:sz w:val="28"/>
        </w:rPr>
        <w:t>4. Recommendations</w:t>
      </w:r>
    </w:p>
    <w:p>
      <w:pPr>
        <w:pStyle w:val="style0"/>
        <w:spacing w:before="160" w:after="40"/>
        <w:rPr/>
      </w:pPr>
      <w:r>
        <w:rPr>
          <w:rFonts w:ascii="Georgia" w:hAnsi="Georgia"/>
          <w:b/>
          <w:color w:val="425263"/>
          <w:sz w:val="24"/>
        </w:rPr>
        <w:t>4.1  Mobilise patients earlier  (highest impact)</w:t>
      </w:r>
    </w:p>
    <w:p>
      <w:pPr>
        <w:pStyle w:val="style0"/>
        <w:spacing w:after="120"/>
        <w:rPr/>
      </w:pPr>
      <w:r>
        <w:rPr>
          <w:rFonts w:ascii="Georgia" w:hAnsi="Georgia"/>
          <w:sz w:val="22"/>
        </w:rPr>
        <w:t>The largest LOS driver is an ambulation time (r = 0.79). The median stay of patients who walk 28+ hours after surgery is an average of 1.8 days higher than the median stay of patients who mobilise within 14 hours. An intervention of the first ambulation within 12 hours of surgery end with physio assessment within 4 hours of theatre could save 0.9-1.2 days per patient. The financial case self-makes itself at PS400 a bed-day.</w:t>
      </w:r>
    </w:p>
    <w:p>
      <w:pPr>
        <w:pStyle w:val="style0"/>
        <w:spacing w:after="120"/>
        <w:rPr>
          <w:b/>
          <w:bCs/>
          <w:sz w:val="24"/>
          <w:szCs w:val="24"/>
        </w:rPr>
      </w:pPr>
      <w:r>
        <w:rPr>
          <w:rFonts w:ascii="Georgia" w:hAnsi="Georgia"/>
          <w:b/>
          <w:bCs/>
          <w:sz w:val="24"/>
          <w:szCs w:val="24"/>
        </w:rPr>
        <w:t>4.2  Pre-surgical preparation of Insertion cases.</w:t>
      </w:r>
    </w:p>
    <w:p>
      <w:pPr>
        <w:pStyle w:val="style0"/>
        <w:spacing w:after="120"/>
        <w:rPr/>
      </w:pPr>
      <w:r>
        <w:rPr>
          <w:rFonts w:ascii="Georgia" w:hAnsi="Georgia"/>
          <w:sz w:val="22"/>
        </w:rPr>
        <w:t>The insertion procedures increase the LOS by approximately 1.6 days. Protected theatre slot and pre-admission nutritional and strength screening should seal that gap without any significant cost of resource expenditure.</w:t>
      </w:r>
    </w:p>
    <w:p>
      <w:pPr>
        <w:pStyle w:val="style0"/>
        <w:spacing w:after="120"/>
        <w:rPr>
          <w:b/>
          <w:bCs/>
          <w:sz w:val="24"/>
          <w:szCs w:val="24"/>
        </w:rPr>
      </w:pPr>
      <w:r>
        <w:rPr>
          <w:rFonts w:ascii="Georgia" w:hAnsi="Georgia"/>
          <w:b/>
          <w:bCs/>
          <w:sz w:val="24"/>
          <w:szCs w:val="24"/>
        </w:rPr>
        <w:t>4.3  Removal patient Discharge coordination.</w:t>
      </w:r>
    </w:p>
    <w:p>
      <w:pPr>
        <w:pStyle w:val="style0"/>
        <w:spacing w:after="120"/>
        <w:rPr/>
      </w:pPr>
      <w:r>
        <w:rPr>
          <w:rFonts w:ascii="Georgia" w:hAnsi="Georgia"/>
          <w:sz w:val="22"/>
        </w:rPr>
        <w:t>The LOS of removal cases is the most varied (IQR 2.1 days). Having a discharge coordinator in conjunction with every Removal patient 48 hours prior to the estimated discharge, should convert potential delays to actual earlier discharges.</w:t>
      </w:r>
    </w:p>
    <w:p>
      <w:pPr>
        <w:pStyle w:val="style0"/>
        <w:spacing w:before="280" w:after="60"/>
        <w:rPr/>
      </w:pPr>
      <w:r>
        <w:rPr>
          <w:rFonts w:ascii="Georgia" w:hAnsi="Georgia"/>
          <w:b/>
          <w:color w:val="005eb8"/>
          <w:sz w:val="28"/>
        </w:rPr>
        <w:t>5. Evaluation Strategy</w:t>
      </w:r>
    </w:p>
    <w:p>
      <w:pPr>
        <w:pStyle w:val="style0"/>
        <w:spacing w:before="160" w:after="40"/>
        <w:rPr/>
      </w:pPr>
      <w:r>
        <w:rPr>
          <w:rFonts w:ascii="Georgia" w:hAnsi="Georgia"/>
          <w:b/>
          <w:color w:val="425263"/>
          <w:sz w:val="24"/>
        </w:rPr>
        <w:t>5.1  What to track</w:t>
      </w:r>
    </w:p>
    <w:p>
      <w:pPr>
        <w:pStyle w:val="style0"/>
        <w:spacing w:after="120"/>
        <w:rPr/>
      </w:pPr>
      <w:r>
        <w:rPr>
          <w:rFonts w:ascii="Georgia" w:hAnsi="Georgia"/>
          <w:sz w:val="22"/>
        </w:rPr>
        <w:t>Weekly predicted vs actual LOS MAE - should be less than 0.46 days (test-set baseline). Once it goes beyond 0.65 days four weeks in a row, then it becomes time to retrain.</w:t>
      </w:r>
    </w:p>
    <w:p>
      <w:pPr>
        <w:pStyle w:val="style0"/>
        <w:spacing w:after="120"/>
        <w:rPr/>
      </w:pPr>
      <w:r>
        <w:rPr>
          <w:rFonts w:ascii="Georgia" w:hAnsi="Georgia"/>
          <w:sz w:val="22"/>
        </w:rPr>
        <w:t>Saving of PS400/day bed-days per month, reported to the board as a cost-per-intervention.</w:t>
      </w:r>
    </w:p>
    <w:p>
      <w:pPr>
        <w:pStyle w:val="style0"/>
        <w:spacing w:after="120"/>
        <w:rPr/>
      </w:pPr>
      <w:r>
        <w:rPr>
          <w:rFonts w:ascii="Georgia" w:hAnsi="Georgia"/>
          <w:sz w:val="22"/>
        </w:rPr>
        <w:t>Short-stay accuracy: at least 85%. of all patients who forecasted fewer than 3 days actually should be discharged in 3 days checked at 90-day post-launch.</w:t>
      </w:r>
    </w:p>
    <w:p>
      <w:pPr>
        <w:pStyle w:val="style0"/>
        <w:spacing w:after="120"/>
        <w:rPr/>
      </w:pPr>
      <w:r>
        <w:rPr>
          <w:rFonts w:ascii="Georgia" w:hAnsi="Georgia"/>
          <w:sz w:val="22"/>
        </w:rPr>
        <w:t>5.2  Evaluation of the mobilisation intervention.</w:t>
      </w:r>
    </w:p>
    <w:p>
      <w:pPr>
        <w:pStyle w:val="style0"/>
        <w:spacing w:after="120"/>
        <w:rPr/>
      </w:pPr>
      <w:r>
        <w:rPr>
          <w:rFonts w:ascii="Georgia" w:hAnsi="Georgia"/>
          <w:sz w:val="22"/>
        </w:rPr>
        <w:t>Randomise consenting patients who are elective at 50/50 -standard care vs model-guided planning and early mobilisation. That is about 490 in a single arm - enough to detect a half day difference in LOS. Maintain 30-day readmissions as a follow-up measure to ensure that we are not releasing people earlier.</w:t>
      </w:r>
    </w:p>
    <w:p>
      <w:pPr>
        <w:pStyle w:val="style0"/>
        <w:spacing w:after="120"/>
        <w:rPr/>
      </w:pPr>
      <w:r>
        <w:rPr>
          <w:rFonts w:ascii="Georgia" w:hAnsi="Georgia"/>
          <w:sz w:val="22"/>
        </w:rPr>
        <w:t>5.3  Three data fields that would enhance accuracy.</w:t>
      </w:r>
    </w:p>
    <w:p>
      <w:pPr>
        <w:pStyle w:val="style0"/>
        <w:spacing w:after="120"/>
        <w:rPr/>
      </w:pPr>
      <w:r>
        <w:rPr>
          <w:rFonts w:ascii="Georgia" w:hAnsi="Georgia"/>
          <w:sz w:val="22"/>
        </w:rPr>
        <w:t>Charlson Comorbidity Index - a single frailty score, which, according to similar research, would probably contribute 3-5 points to R2.</w:t>
      </w:r>
    </w:p>
    <w:p>
      <w:pPr>
        <w:pStyle w:val="style0"/>
        <w:spacing w:after="120"/>
        <w:rPr/>
      </w:pPr>
      <w:r>
        <w:rPr>
          <w:rFonts w:ascii="Georgia" w:hAnsi="Georgia"/>
          <w:sz w:val="22"/>
        </w:rPr>
        <w:t>BMI - also familiar with influencing recovery, yet not present in all the four source files.</w:t>
      </w:r>
    </w:p>
    <w:p>
      <w:pPr>
        <w:pStyle w:val="style0"/>
        <w:spacing w:after="120"/>
        <w:rPr/>
      </w:pPr>
      <w:r>
        <w:rPr>
          <w:rFonts w:ascii="Georgia" w:hAnsi="Georgia"/>
          <w:sz w:val="22"/>
        </w:rPr>
        <w:t>Post-op complications flag - only yes/no, but it would likely explain most of the high-LOS cases which the model is unable to explain at this time.</w:t>
      </w:r>
    </w:p>
    <w:p>
      <w:pPr>
        <w:pStyle w:val="style0"/>
        <w:spacing w:after="120"/>
        <w:rPr/>
      </w:pPr>
      <w:r>
        <w:rPr>
          <w:rFonts w:ascii="Georgia" w:hAnsi="Georgia"/>
          <w:sz w:val="22"/>
        </w:rPr>
        <w:t>5.4  Retraining schedule</w:t>
      </w:r>
    </w:p>
    <w:p>
      <w:pPr>
        <w:pStyle w:val="style0"/>
        <w:spacing w:after="120"/>
        <w:rPr/>
      </w:pPr>
      <w:r>
        <w:rPr>
          <w:rFonts w:ascii="Georgia" w:hAnsi="Georgia"/>
          <w:sz w:val="22"/>
        </w:rPr>
        <w:t>12-month retraining quarterly on rolling basis. Ad-hoc retraining in case of cross-monitored MAE above 0.65 days.</w:t>
      </w:r>
    </w:p>
    <w:p>
      <w:pPr>
        <w:pStyle w:val="style0"/>
        <w:spacing w:before="280" w:after="60"/>
        <w:rPr/>
      </w:pPr>
      <w:r>
        <w:rPr>
          <w:rFonts w:ascii="Georgia" w:hAnsi="Georgia"/>
          <w:b/>
          <w:color w:val="005eb8"/>
          <w:sz w:val="28"/>
        </w:rPr>
        <w:t>6. Data Collection Strategy for the Wider Trust</w:t>
      </w:r>
    </w:p>
    <w:p>
      <w:pPr>
        <w:pStyle w:val="style0"/>
        <w:spacing w:before="160" w:after="40"/>
        <w:rPr/>
      </w:pPr>
      <w:r>
        <w:rPr>
          <w:rFonts w:ascii="Georgia" w:hAnsi="Georgia"/>
          <w:b/>
          <w:color w:val="425263"/>
          <w:sz w:val="24"/>
        </w:rPr>
        <w:t>6.1  Consolidate the data</w:t>
      </w:r>
    </w:p>
    <w:p>
      <w:pPr>
        <w:pStyle w:val="style48"/>
        <w:rPr/>
      </w:pPr>
      <w:r>
        <w:rPr>
          <w:rFonts w:ascii="Georgia" w:hAnsi="Georgia"/>
          <w:sz w:val="22"/>
        </w:rPr>
        <w:t>The current analysis process includes the manual joining of four individual files and that is not a viable operationally. The Trust requires one data warehouse which is developed to the standards of NHS Data Dictionary and that ward, theatre and admin systems write to the same schema. No more four-file problem.</w:t>
      </w:r>
    </w:p>
    <w:p>
      <w:pPr>
        <w:pStyle w:val="style48"/>
        <w:rPr/>
      </w:pPr>
      <w:r>
        <w:t>6.2  Have real-time access to the EHR.</w:t>
      </w:r>
    </w:p>
    <w:p>
      <w:pPr>
        <w:pStyle w:val="style48"/>
        <w:rPr/>
      </w:pPr>
      <w:r>
        <w:t>When the EHR pushes the important fields of admission to the prediction pipeline through the NHS Spine, the model could provide a predicted discharge date prior to admission to the ward by the patient. The operational value actually lies in that, not in weekly batch run but in live discharge planning at the very beginning.</w:t>
      </w:r>
    </w:p>
    <w:p>
      <w:pPr>
        <w:pStyle w:val="style48"/>
        <w:rPr/>
      </w:pPr>
      <w:r>
        <w:t>6.3  Low field set and data control.</w:t>
      </w:r>
    </w:p>
    <w:p>
      <w:pPr>
        <w:pStyle w:val="style48"/>
        <w:rPr/>
      </w:pPr>
      <w:r>
        <w:t>Pseudonymised NHS Number, admission and discharge date, ICD-10 procedure code, surgery-end and first-ambulation time, gender and date of birth are the bare minimum. Anything that the model uses is derived on those anyway.</w:t>
      </w:r>
    </w:p>
    <w:p>
      <w:pPr>
        <w:pStyle w:val="style48"/>
        <w:rPr/>
      </w:pPr>
      <w:r>
        <w:t>Charlson Comorbidity Index and BMI are the most likely additions which are going to cause the needle of accuracy to actually shift, when bandwidth permits. The majority of high-LOS outliers that the model does not capture would be represented by a post-op complications flag.</w:t>
      </w:r>
    </w:p>
    <w:p>
      <w:pPr>
        <w:pStyle w:val="style48"/>
        <w:rPr/>
      </w:pPr>
      <w:r>
        <w:t>All of this must be pseudonymised prior to passage to the analytics environment. Before go-live, there will have to be a DPIA. Only the clinicians receive patient-level predictions, and the managers receive aggregate trend views - this is the NHS DSP Toolkit standard.</w:t>
      </w:r>
    </w:p>
    <w:sectPr>
      <w:headerReference w:type="default" r:id="rId3"/>
      <w:footerReference w:type="default" r:id="rId4"/>
      <w:pgSz w:w="11909" w:h="16834" w:orient="portrait"/>
      <w:pgMar w:top="1728"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pPr>
      <w:pStyle w:val="style32"/>
      <w:jc w:val="center"/>
      <w:rPr/>
    </w:pPr>
    <w:r>
      <w:rPr>
        <w:rFonts w:ascii="Georgia" w:hAnsi="Georgia"/>
        <w:sz w:val="18"/>
      </w:rPr>
      <w:t xml:space="preserve">Page </w:t>
    </w:r>
    <w:r>
      <w:rPr>
        <w:rFonts w:ascii="Georgia" w:hAnsi="Georgia"/>
        <w:sz w:val="18"/>
      </w:rPr>
      <w:fldChar w:fldCharType="begin"/>
    </w:r>
    <w:r>
      <w:rPr>
        <w:rFonts w:ascii="Georgia" w:hAnsi="Georgia"/>
        <w:sz w:val="18"/>
      </w:rPr>
      <w:instrText>PAGE</w:instrText>
    </w:r>
    <w:r>
      <w:rPr>
        <w:rFonts w:ascii="Georgia" w:hAnsi="Georgia"/>
        <w:sz w:val="18"/>
      </w:rPr>
      <w:fldChar w:fldCharType="end"/>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pPr>
      <w:pStyle w:val="style31"/>
      <w:jc w:val="center"/>
      <w:rPr/>
    </w:pPr>
    <w:r>
      <w:rPr>
        <w:rFonts w:ascii="Georgia" w:hAnsi="Georgia"/>
        <w:i/>
        <w:color w:val="3a3a3a"/>
        <w:sz w:val="16"/>
      </w:rPr>
      <w:t>CONFIDENTIAL  |  MN5812  |  Hospital Stay Duration Case Study  |  Candidate: 2024MN5812001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b7ecbb1d-6cc0-48ee-9ec8-dcf983a4d560"/>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7b8b032c-7df1-4ded-9168-8a05694cf8bb"/>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652adc4b-d5e6-4241-99aa-4f3d3d9da3bf"/>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6ab191bf-5c33-4eb0-aba8-2c758f3622c2"/>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fd4f05a3-c2df-46e8-8823-45d1004395dc"/>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f8589937-9ca2-4f1a-a545-48e8c46c9000"/>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9ce0964e-c1fb-4a5f-8a17-4c8883d13f40"/>
    <w:basedOn w:val="style65"/>
    <w:next w:val="style4108"/>
    <w:link w:val="style180"/>
    <w:uiPriority w:val="29"/>
    <w:rPr>
      <w:i/>
      <w:iCs/>
      <w:color w:val="000000"/>
    </w:rPr>
  </w:style>
  <w:style w:type="character" w:customStyle="1" w:styleId="style4109">
    <w:name w:val="Heading 4 Char_04d9a9b1-3de5-424d-99ca-656bb961c4ba"/>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11735e83-c6a5-4c9a-90e3-46398d65f7f5"/>
    <w:basedOn w:val="style65"/>
    <w:next w:val="style4110"/>
    <w:link w:val="style5"/>
    <w:uiPriority w:val="9"/>
    <w:rPr>
      <w:rFonts w:ascii="Calibri" w:cs="宋体" w:eastAsia="ＭＳ ゴシック" w:hAnsi="Calibri"/>
      <w:color w:val="243f60"/>
    </w:rPr>
  </w:style>
  <w:style w:type="character" w:customStyle="1" w:styleId="style4111">
    <w:name w:val="Heading 6 Char_8ed3f2c2-0e52-440d-b8c7-44a74a97df7f"/>
    <w:basedOn w:val="style65"/>
    <w:next w:val="style4111"/>
    <w:link w:val="style6"/>
    <w:uiPriority w:val="9"/>
    <w:rPr>
      <w:rFonts w:ascii="Calibri" w:cs="宋体" w:eastAsia="ＭＳ ゴシック" w:hAnsi="Calibri"/>
      <w:i/>
      <w:iCs/>
      <w:color w:val="243f60"/>
    </w:rPr>
  </w:style>
  <w:style w:type="character" w:customStyle="1" w:styleId="style4112">
    <w:name w:val="Heading 7 Char_e3aeedb0-563e-47ca-b3c2-4e3d9ff40bce"/>
    <w:basedOn w:val="style65"/>
    <w:next w:val="style4112"/>
    <w:link w:val="style7"/>
    <w:uiPriority w:val="9"/>
    <w:rPr>
      <w:rFonts w:ascii="Calibri" w:cs="宋体" w:eastAsia="ＭＳ ゴシック" w:hAnsi="Calibri"/>
      <w:i/>
      <w:iCs/>
      <w:color w:val="404040"/>
    </w:rPr>
  </w:style>
  <w:style w:type="character" w:customStyle="1" w:styleId="style4113">
    <w:name w:val="Heading 8 Char_2ccaac0c-71de-46c0-a728-362624a4d015"/>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e5eb01fe-e0dd-4ff2-b11f-b370f10aec89"/>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d7dd41e8-a8df-4123-aa8b-7a06c6566edb"/>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2.xml"/><Relationship Id="rId9" Type="http://schemas.openxmlformats.org/officeDocument/2006/relationships/customXml" Target="../customXml/item1.xml"/><Relationship Id="rId5" Type="http://schemas.openxmlformats.org/officeDocument/2006/relationships/styles" Target="styl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1298</Words>
  <Pages>1</Pages>
  <Characters>6866</Characters>
  <Application>WPS Office</Application>
  <DocSecurity>0</DocSecurity>
  <Paragraphs>109</Paragraphs>
  <ScaleCrop>false</ScaleCrop>
  <LinksUpToDate>false</LinksUpToDate>
  <CharactersWithSpaces>8165</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V2342</lastModifiedBy>
  <dcterms:modified xsi:type="dcterms:W3CDTF">2026-03-15T08:32:03Z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24292f4d37df499f9ddf90fae5698619</vt:lpwstr>
  </property>
</Properties>
</file>