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1457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5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color w:val="3A3A3A"/>
          <w:sz w:val="26"/>
        </w:rPr>
        <w:t>Assignment Submission Cover Sheet</w:t>
      </w:r>
    </w:p>
    <w:p>
      <w:pPr>
        <w:spacing w:before="200" w:after="200"/>
        <w:pBdr>
          <w:bottom w:val="single" w:sz="6" w:space="1" w:color="CC3300"/>
        </w:pBdr>
      </w:pP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Candidate Number      </w:t>
      </w:r>
      <w:r>
        <w:rPr>
          <w:rFonts w:ascii="Georgia" w:hAnsi="Georgia"/>
          <w:sz w:val="24"/>
          <w:u w:val="single"/>
        </w:rPr>
        <w:t>2024MN5812001</w:t>
      </w: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Year                  </w:t>
      </w:r>
      <w:r>
        <w:rPr>
          <w:rFonts w:ascii="Georgia" w:hAnsi="Georgia"/>
          <w:sz w:val="24"/>
          <w:u w:val="single"/>
        </w:rPr>
        <w:t>2025 / 26</w:t>
      </w: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Course Code           </w:t>
      </w:r>
      <w:r>
        <w:rPr>
          <w:rFonts w:ascii="Georgia" w:hAnsi="Georgia"/>
          <w:sz w:val="24"/>
          <w:u w:val="single"/>
        </w:rPr>
        <w:t>MN5812</w:t>
      </w: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Course Tutor          </w:t>
      </w:r>
      <w:r>
        <w:rPr>
          <w:rFonts w:ascii="Georgia" w:hAnsi="Georgia"/>
          <w:sz w:val="24"/>
          <w:u w:val="single"/>
        </w:rPr>
        <w:t>Dr. J. Harrison</w:t>
      </w: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Assignment No.        </w:t>
      </w:r>
      <w:r>
        <w:rPr>
          <w:rFonts w:ascii="Georgia" w:hAnsi="Georgia"/>
          <w:sz w:val="24"/>
          <w:u w:val="single"/>
        </w:rPr>
        <w:t>1</w:t>
      </w: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Degree Title          </w:t>
      </w:r>
      <w:r>
        <w:rPr>
          <w:rFonts w:ascii="Georgia" w:hAnsi="Georgia"/>
          <w:sz w:val="24"/>
          <w:u w:val="single"/>
        </w:rPr>
        <w:t>MSc Business Analytics</w:t>
      </w:r>
    </w:p>
    <w:p>
      <w:pPr>
        <w:spacing w:before="260" w:after="0"/>
      </w:pPr>
      <w:r>
        <w:rPr>
          <w:rFonts w:ascii="Georgia" w:hAnsi="Georgia"/>
          <w:b/>
          <w:sz w:val="24"/>
        </w:rPr>
        <w:t xml:space="preserve">Assignment Title      </w:t>
      </w:r>
      <w:r>
        <w:rPr>
          <w:rFonts w:ascii="Georgia" w:hAnsi="Georgia"/>
          <w:sz w:val="24"/>
          <w:u w:val="single"/>
        </w:rPr>
        <w:t>MN5812 Machine Learning &amp; Predictive Analytics  --  Hospital Stay Duration Case Study</w:t>
      </w:r>
    </w:p>
    <w:p/>
    <w:p>
      <w:pPr>
        <w:spacing w:before="560"/>
      </w:pPr>
      <w:r>
        <w:rPr>
          <w:rFonts w:ascii="Georgia" w:hAnsi="Georgia"/>
          <w:i/>
          <w:sz w:val="20"/>
        </w:rPr>
        <w:t>Declaration:  This is my own work and I haven't put it in for any other assessment. I've read through the University's Academic Integrity Policy and I know what it requires of me.</w:t>
      </w:r>
    </w:p>
    <w:p>
      <w:pPr>
        <w:spacing w:before="480"/>
      </w:pPr>
      <w:r>
        <w:rPr>
          <w:rFonts w:ascii="Georgia" w:hAnsi="Georgia"/>
          <w:sz w:val="22"/>
        </w:rPr>
        <w:t>Signature: _______________________________     Date: 12 March 2026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005EB8"/>
          <w:sz w:val="48"/>
        </w:rPr>
        <w:t>Hospital Stay Duration Case Study</w:t>
      </w:r>
    </w:p>
    <w:p>
      <w:pPr>
        <w:jc w:val="center"/>
      </w:pPr>
      <w:r>
        <w:rPr>
          <w:rFonts w:ascii="Georgia" w:hAnsi="Georgia"/>
          <w:color w:val="425263"/>
          <w:sz w:val="28"/>
        </w:rPr>
        <w:t>MN5812 Machine Learning &amp; Predictive Analytics</w:t>
      </w:r>
    </w:p>
    <w:p>
      <w:pPr>
        <w:spacing w:before="80"/>
        <w:jc w:val="center"/>
      </w:pPr>
      <w:r>
        <w:rPr>
          <w:rFonts w:ascii="Georgia" w:hAnsi="Georgia"/>
          <w:i/>
          <w:color w:val="425263"/>
          <w:sz w:val="24"/>
        </w:rPr>
        <w:t>Report prepared for the NHS Chief Executive</w:t>
      </w:r>
    </w:p>
    <w:p/>
    <w:p/>
    <w:p>
      <w:pPr>
        <w:jc w:val="center"/>
      </w:pPr>
      <w:r>
        <w:rPr>
          <w:rFonts w:ascii="Georgia" w:hAnsi="Georgia"/>
          <w:b/>
          <w:color w:val="003087"/>
          <w:sz w:val="22"/>
        </w:rPr>
        <w:t xml:space="preserve">Candidate Number:  </w:t>
      </w:r>
      <w:r>
        <w:rPr>
          <w:rFonts w:ascii="Georgia" w:hAnsi="Georgia"/>
          <w:sz w:val="22"/>
        </w:rPr>
        <w:t>2024MN5812001</w:t>
      </w:r>
    </w:p>
    <w:p>
      <w:pPr>
        <w:jc w:val="center"/>
      </w:pPr>
      <w:r>
        <w:rPr>
          <w:rFonts w:ascii="Georgia" w:hAnsi="Georgia"/>
          <w:b/>
          <w:color w:val="003087"/>
          <w:sz w:val="22"/>
        </w:rPr>
        <w:t xml:space="preserve">Date:  </w:t>
      </w:r>
      <w:r>
        <w:rPr>
          <w:rFonts w:ascii="Georgia" w:hAnsi="Georgia"/>
          <w:sz w:val="22"/>
        </w:rPr>
        <w:t>12 March 2026</w:t>
      </w:r>
    </w:p>
    <w:p>
      <w:pPr>
        <w:jc w:val="center"/>
      </w:pPr>
      <w:r>
        <w:rPr>
          <w:rFonts w:ascii="Georgia" w:hAnsi="Georgia"/>
          <w:b/>
          <w:color w:val="003087"/>
          <w:sz w:val="22"/>
        </w:rPr>
        <w:t xml:space="preserve">Word Count:  </w:t>
      </w:r>
      <w:r>
        <w:rPr>
          <w:rFonts w:ascii="Georgia" w:hAnsi="Georgia"/>
          <w:sz w:val="22"/>
        </w:rPr>
        <w:t>approx. 990 (body text, headings excluded)</w:t>
      </w:r>
    </w:p>
    <w:p>
      <w:pPr>
        <w:jc w:val="center"/>
      </w:pPr>
      <w:r>
        <w:rPr>
          <w:rFonts w:ascii="Georgia" w:hAnsi="Georgia"/>
          <w:b/>
          <w:color w:val="003087"/>
          <w:sz w:val="22"/>
        </w:rPr>
        <w:t xml:space="preserve">Classification:  </w:t>
      </w:r>
      <w:r>
        <w:rPr>
          <w:rFonts w:ascii="Georgia" w:hAnsi="Georgia"/>
          <w:sz w:val="22"/>
        </w:rPr>
        <w:t>CONFIDENTIAL</w:t>
      </w:r>
    </w:p>
    <w:p>
      <w:r>
        <w:br w:type="page"/>
      </w:r>
    </w:p>
    <w:p>
      <w:pPr>
        <w:spacing w:before="280" w:after="60"/>
      </w:pPr>
      <w:r>
        <w:rPr>
          <w:rFonts w:ascii="Georgia" w:hAnsi="Georgia"/>
          <w:b/>
          <w:color w:val="005EB8"/>
          <w:sz w:val="28"/>
        </w:rPr>
        <w:t>1. Executive Summary</w:t>
      </w:r>
    </w:p>
    <w:p>
      <w:pPr>
        <w:spacing w:after="120"/>
      </w:pPr>
      <w:r>
        <w:rPr>
          <w:rFonts w:ascii="Georgia" w:hAnsi="Georgia"/>
          <w:sz w:val="22"/>
        </w:rPr>
        <w:t>Four NHS datasets -- 982 surgical records once everything was joined up -- were pulled together to build a discharge-prediction model. Linear Regression turned out to be the winner. RMSE on the holdout set came to 0.59 days; the model explained 78% of LOS variation, and five-fold CV confirmed that wasn't a fluke. For the 15 patients currently on the ward, average predicted stay is 3.53 days. Four look like short stays, eleven are medium. None are flagging as long-stay risk.</w:t>
      </w:r>
    </w:p>
    <w:p>
      <w:pPr>
        <w:spacing w:before="280" w:after="60"/>
      </w:pPr>
      <w:r>
        <w:rPr>
          <w:rFonts w:ascii="Georgia" w:hAnsi="Georgia"/>
          <w:b/>
          <w:color w:val="005EB8"/>
          <w:sz w:val="28"/>
        </w:rPr>
        <w:t>2. Data Analyses Performed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2.1  Exploratory Analysis</w:t>
      </w:r>
    </w:p>
    <w:p>
      <w:pPr>
        <w:spacing w:after="120"/>
      </w:pPr>
      <w:r>
        <w:rPr>
          <w:rFonts w:ascii="Georgia" w:hAnsi="Georgia"/>
          <w:sz w:val="22"/>
        </w:rPr>
        <w:t>Patient Information (992 records) was inner-joined to Surgical Information (982 records) -- ten records with no surgery entry were dropped. ICD-10 descriptions were appended as a lookup table. LOS turned out near-symmetric -- mean 3.61 days, skewness barely at 0.03. That near-normality is what made regression the right call over classification.</w:t>
      </w:r>
    </w:p>
    <w:p>
      <w:pPr>
        <w:spacing w:after="120"/>
      </w:pPr>
      <w:r>
        <w:rPr>
          <w:rFonts w:ascii="Georgia" w:hAnsi="Georgia"/>
          <w:sz w:val="22"/>
        </w:rPr>
        <w:t>Correlation analysis found one dominant result: ambulation time tracks LOS with Pearson r = 0.79. Age, admission month and day of week all came in below 0.06 -- present but operationally minor. Insertion procedures carry the longest median stays; Removal has the widest spread, with direct implications for discharge planning.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2.2  Modelling Approach</w:t>
      </w:r>
    </w:p>
    <w:p>
      <w:pPr>
        <w:spacing w:after="120"/>
      </w:pPr>
      <w:r>
        <w:rPr>
          <w:rFonts w:ascii="Georgia" w:hAnsi="Georgia"/>
          <w:sz w:val="22"/>
        </w:rPr>
        <w:t>Five models went through an 80/20 split (785 training, 197 test, seed 42) with 5-fold CV -- Linear Regression, Ridge (L2-regularised), Decision Tree, Random Forest (200 trees) and Gradient Boosting (200 estimators, lr 0.05). Regression made more sense than classification; LOS is roughly normal and you need bed-day precision, not broad risk bins.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2.3  Model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005EB8"/>
          </w:tcPr>
          <w:p>
            <w:r/>
            <w:r>
              <w:rPr>
                <w:rFonts w:ascii="Georgia" w:hAnsi="Georgia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06"/>
            <w:shd w:val="clear" w:color="auto" w:fill="005EB8"/>
          </w:tcPr>
          <w:p>
            <w:r/>
            <w:r>
              <w:rPr>
                <w:rFonts w:ascii="Georgia" w:hAnsi="Georgia"/>
                <w:b/>
                <w:color w:val="FFFFFF"/>
                <w:sz w:val="20"/>
              </w:rPr>
              <w:t>RMSE</w:t>
            </w:r>
          </w:p>
        </w:tc>
        <w:tc>
          <w:tcPr>
            <w:tcW w:type="dxa" w:w="1806"/>
            <w:shd w:val="clear" w:color="auto" w:fill="005EB8"/>
          </w:tcPr>
          <w:p>
            <w:r/>
            <w:r>
              <w:rPr>
                <w:rFonts w:ascii="Georgia" w:hAnsi="Georgia"/>
                <w:b/>
                <w:color w:val="FFFFFF"/>
                <w:sz w:val="20"/>
              </w:rPr>
              <w:t>MAE</w:t>
            </w:r>
          </w:p>
        </w:tc>
        <w:tc>
          <w:tcPr>
            <w:tcW w:type="dxa" w:w="1806"/>
            <w:shd w:val="clear" w:color="auto" w:fill="005EB8"/>
          </w:tcPr>
          <w:p>
            <w:r/>
            <w:r>
              <w:rPr>
                <w:rFonts w:ascii="Georgia" w:hAnsi="Georgia"/>
                <w:b/>
                <w:color w:val="FFFFFF"/>
                <w:sz w:val="20"/>
              </w:rPr>
              <w:t>R²</w:t>
            </w:r>
          </w:p>
        </w:tc>
        <w:tc>
          <w:tcPr>
            <w:tcW w:type="dxa" w:w="1806"/>
            <w:shd w:val="clear" w:color="auto" w:fill="005EB8"/>
          </w:tcPr>
          <w:p>
            <w:r/>
            <w:r>
              <w:rPr>
                <w:rFonts w:ascii="Georgia" w:hAnsi="Georgia"/>
                <w:b/>
                <w:color w:val="FFFFFF"/>
                <w:sz w:val="20"/>
              </w:rPr>
              <w:t>CV R²</w:t>
            </w:r>
          </w:p>
        </w:tc>
      </w:tr>
      <w:tr>
        <w:tc>
          <w:tcPr>
            <w:tcW w:type="dxa" w:w="1806"/>
          </w:tcPr>
          <w:p>
            <w:r>
              <w:rPr>
                <w:rFonts w:ascii="Georgia" w:hAnsi="Georgia"/>
                <w:b/>
                <w:sz w:val="20"/>
              </w:rPr>
              <w:t>Linear Regression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b/>
                <w:sz w:val="20"/>
              </w:rPr>
              <w:t>0.5912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b/>
                <w:sz w:val="20"/>
              </w:rPr>
              <w:t>0.4559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b/>
                <w:sz w:val="20"/>
              </w:rPr>
              <w:t>0.7789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b/>
                <w:sz w:val="20"/>
              </w:rPr>
              <w:t>0.7781</w:t>
            </w:r>
          </w:p>
        </w:tc>
      </w:tr>
      <w:tr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Ridge Regression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0.5930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0.4580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0.7776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0.7785</w:t>
            </w:r>
          </w:p>
        </w:tc>
      </w:tr>
      <w:tr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Gradient Boosting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0.5938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0.4594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0.7770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0.7690</w:t>
            </w:r>
          </w:p>
        </w:tc>
      </w:tr>
      <w:tr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Random Forest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0.6057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0.4681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0.7680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0.7612</w:t>
            </w:r>
          </w:p>
        </w:tc>
      </w:tr>
      <w:tr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Decision Tree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0.6612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0.4951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0.7234</w:t>
            </w:r>
          </w:p>
        </w:tc>
        <w:tc>
          <w:tcPr>
            <w:tcW w:type="dxa" w:w="1806"/>
          </w:tcPr>
          <w:p>
            <w:r>
              <w:rPr>
                <w:rFonts w:ascii="Georgia" w:hAnsi="Georgia"/>
                <w:sz w:val="20"/>
              </w:rPr>
              <w:t>0.7272</w:t>
            </w:r>
          </w:p>
        </w:tc>
      </w:tr>
    </w:tbl>
    <w:p/>
    <w:p>
      <w:pPr>
        <w:spacing w:after="120"/>
      </w:pPr>
      <w:r>
        <w:rPr>
          <w:rFonts w:ascii="Georgia" w:hAnsi="Georgia"/>
          <w:sz w:val="22"/>
        </w:rPr>
        <w:t>Linear Regression came out on top. The CV variance confirmed it -- tighter than Gradient Boosting (SD 0.036 vs 0.046). Where the main LOS driver is broadly linear anyway, more complex models don't earn their keep.</w:t>
      </w:r>
    </w:p>
    <w:p>
      <w:pPr>
        <w:spacing w:before="280" w:after="60"/>
      </w:pPr>
      <w:r>
        <w:rPr>
          <w:rFonts w:ascii="Georgia" w:hAnsi="Georgia"/>
          <w:b/>
          <w:color w:val="005EB8"/>
          <w:sz w:val="28"/>
        </w:rPr>
        <w:t>3. Choices and Assumptions</w:t>
      </w:r>
    </w:p>
    <w:p>
      <w:pPr>
        <w:pStyle w:val="ListBullet"/>
      </w:pPr>
      <w:r>
        <w:rPr>
          <w:rFonts w:ascii="Georgia" w:hAnsi="Georgia"/>
          <w:sz w:val="22"/>
        </w:rPr>
        <w:t>Only patients with an actual surgery entry appear in the model -- the inner join on Patient_ID handles that automatically. Ten records with no surgery episode were excluded and logged for audit.</w:t>
      </w:r>
    </w:p>
    <w:p>
      <w:pPr>
        <w:pStyle w:val="ListBullet"/>
      </w:pPr>
      <w:r>
        <w:rPr>
          <w:rFonts w:ascii="Georgia" w:hAnsi="Georgia"/>
          <w:sz w:val="22"/>
        </w:rPr>
        <w:t>Zero missing values after the join, so no imputation needed for training. For the 15 current patients, admission month and day-of-week are unknown at this stage -- filled with the training set mode (September, Wednesday). Transparent, and consistent with Section 6.</w:t>
      </w:r>
    </w:p>
    <w:p>
      <w:pPr>
        <w:pStyle w:val="ListBullet"/>
      </w:pPr>
      <w:r>
        <w:rPr>
          <w:rFonts w:ascii="Georgia" w:hAnsi="Georgia"/>
          <w:sz w:val="22"/>
        </w:rPr>
        <w:t>Surgery Type came from the first word of each ICD-10 description -- 'Removal of Autologous Tissue...' becomes 'Removal'. This matched the Current Patients column exactly, so no manual mapping was needed.</w:t>
      </w:r>
    </w:p>
    <w:p>
      <w:pPr>
        <w:pStyle w:val="ListBullet"/>
      </w:pPr>
      <w:r>
        <w:rPr>
          <w:rFonts w:ascii="Georgia" w:hAnsi="Georgia"/>
          <w:sz w:val="22"/>
        </w:rPr>
        <w:t>One record sat outside the IQR threshold at 7.41 days LOS. We kept it in -- that level of complexity is real in spinal surgery, and removing it would give the model false confidence about high-stay cases. One-hot encoding for Gender and Surgery Type; neither has any natural ordering.</w:t>
      </w:r>
    </w:p>
    <w:p>
      <w:pPr>
        <w:spacing w:before="280" w:after="60"/>
      </w:pPr>
      <w:r>
        <w:rPr>
          <w:rFonts w:ascii="Georgia" w:hAnsi="Georgia"/>
          <w:b/>
          <w:color w:val="005EB8"/>
          <w:sz w:val="28"/>
        </w:rPr>
        <w:t>4. Recommendations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4.1  Mobilise patients earlier  (highest impact)</w:t>
      </w:r>
    </w:p>
    <w:p>
      <w:pPr>
        <w:spacing w:after="120"/>
      </w:pPr>
      <w:r>
        <w:rPr>
          <w:rFonts w:ascii="Georgia" w:hAnsi="Georgia"/>
          <w:sz w:val="22"/>
        </w:rPr>
        <w:t>Ambulation time is the single biggest LOS driver (r = 0.79). Patients taking 28+ hours to walk after surgery have a median stay roughly 1.8 days longer than those mobilised within 14 hours. A Trust target of first ambulation within 12 hours of surgery end -- backed by a physio assessment within 4 hours of leaving theatre -- could recover 0.9 to 1.2 days per patient. At £400 a bed-day, the financial case makes itself.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4.2  Pre-surgical preparation for Insertion cases</w:t>
      </w:r>
    </w:p>
    <w:p>
      <w:pPr>
        <w:spacing w:after="120"/>
      </w:pPr>
      <w:r>
        <w:rPr>
          <w:rFonts w:ascii="Georgia" w:hAnsi="Georgia"/>
          <w:sz w:val="22"/>
        </w:rPr>
        <w:t>Insertion procedures add around 1.6 days to LOS. Pre-admission nutritional and strength screening, paired with protected theatre slots, should close that gap without major resource cost.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4.3  Discharge coordination for Removal patients</w:t>
      </w:r>
    </w:p>
    <w:p>
      <w:pPr>
        <w:spacing w:after="120"/>
      </w:pPr>
      <w:r>
        <w:rPr>
          <w:rFonts w:ascii="Georgia" w:hAnsi="Georgia"/>
          <w:sz w:val="22"/>
        </w:rPr>
        <w:t>Removal cases have the widest LOS variance (IQR 2.1 days). Pairing a discharge coordinator with each Removal patient 48 hours before predicted discharge should turn avoidable delays into actual earlier discharges.</w:t>
      </w:r>
    </w:p>
    <w:p>
      <w:pPr>
        <w:spacing w:before="280" w:after="60"/>
      </w:pPr>
      <w:r>
        <w:rPr>
          <w:rFonts w:ascii="Georgia" w:hAnsi="Georgia"/>
          <w:b/>
          <w:color w:val="005EB8"/>
          <w:sz w:val="28"/>
        </w:rPr>
        <w:t>5. Evaluation Strategy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5.1  What to track</w:t>
      </w:r>
    </w:p>
    <w:p>
      <w:pPr>
        <w:pStyle w:val="ListBullet"/>
      </w:pPr>
      <w:r>
        <w:rPr>
          <w:rFonts w:ascii="Georgia" w:hAnsi="Georgia"/>
          <w:sz w:val="22"/>
        </w:rPr>
        <w:t>Weekly MAE between predicted and actual LOS -- keep below 0.46 days (test-set baseline). If it drifts above 0.65 days for four weeks running, that's the trigger to retrain.</w:t>
      </w:r>
    </w:p>
    <w:p>
      <w:pPr>
        <w:pStyle w:val="ListBullet"/>
      </w:pPr>
      <w:r>
        <w:rPr>
          <w:rFonts w:ascii="Georgia" w:hAnsi="Georgia"/>
          <w:sz w:val="22"/>
        </w:rPr>
        <w:t>Monthly bed-day savings at £400/day, reported to the board as a cost-per-intervention figure.</w:t>
      </w:r>
    </w:p>
    <w:p>
      <w:pPr>
        <w:pStyle w:val="ListBullet"/>
      </w:pPr>
      <w:r>
        <w:rPr>
          <w:rFonts w:ascii="Georgia" w:hAnsi="Georgia"/>
          <w:sz w:val="22"/>
        </w:rPr>
        <w:t>Short-stay precision: at least 85% of patients predicted under 3 days should genuinely discharge within 3 days, checked at 90-day post-launch.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5.2  Testing the mobilisation intervention</w:t>
      </w:r>
    </w:p>
    <w:p>
      <w:pPr>
        <w:spacing w:after="120"/>
      </w:pPr>
      <w:r>
        <w:rPr>
          <w:rFonts w:ascii="Georgia" w:hAnsi="Georgia"/>
          <w:sz w:val="22"/>
        </w:rPr>
        <w:t>Randomise consenting elective patients 50/50 -- standard care vs model-guided planning plus early mobilisation. That gives roughly 490 per arm -- plenty to spot a half-day LOS difference. Keep 30-day readmissions as a secondary check so we're not discharging people too soon.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5.3  Three data fields that would improve accuracy</w:t>
      </w:r>
    </w:p>
    <w:p>
      <w:pPr>
        <w:pStyle w:val="ListBullet"/>
      </w:pPr>
      <w:r>
        <w:rPr>
          <w:rFonts w:ascii="Georgia" w:hAnsi="Georgia"/>
          <w:sz w:val="22"/>
        </w:rPr>
        <w:t>Charlson Comorbidity Index -- one frailty score that, based on comparable studies, would likely add 3-5 points to R².</w:t>
      </w:r>
    </w:p>
    <w:p>
      <w:pPr>
        <w:pStyle w:val="ListBullet"/>
      </w:pPr>
      <w:r>
        <w:rPr>
          <w:rFonts w:ascii="Georgia" w:hAnsi="Georgia"/>
          <w:sz w:val="22"/>
        </w:rPr>
        <w:t>BMI -- well known to affect recovery, but it's absent from all four source files.</w:t>
      </w:r>
    </w:p>
    <w:p>
      <w:pPr>
        <w:pStyle w:val="ListBullet"/>
      </w:pPr>
      <w:r>
        <w:rPr>
          <w:rFonts w:ascii="Georgia" w:hAnsi="Georgia"/>
          <w:sz w:val="22"/>
        </w:rPr>
        <w:t>Post-op complications flag -- just yes/no, but it would probably account for most high-LOS cases the model can't currently explain.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5.4  Retraining schedule</w:t>
      </w:r>
    </w:p>
    <w:p>
      <w:pPr>
        <w:spacing w:after="120"/>
      </w:pPr>
      <w:r>
        <w:rPr>
          <w:rFonts w:ascii="Georgia" w:hAnsi="Georgia"/>
          <w:sz w:val="22"/>
        </w:rPr>
        <w:t>Quarterly retraining on a rolling 12-month window. Ad-hoc retraining if monitored MAE crosses 0.65 days.</w:t>
      </w:r>
    </w:p>
    <w:p>
      <w:pPr>
        <w:spacing w:before="280" w:after="60"/>
      </w:pPr>
      <w:r>
        <w:rPr>
          <w:rFonts w:ascii="Georgia" w:hAnsi="Georgia"/>
          <w:b/>
          <w:color w:val="005EB8"/>
          <w:sz w:val="28"/>
        </w:rPr>
        <w:t>6. Data Collection Strategy for the Wider Trust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6.1  Consolidate the data</w:t>
      </w:r>
    </w:p>
    <w:p>
      <w:pPr>
        <w:spacing w:after="120"/>
      </w:pPr>
      <w:r>
        <w:rPr>
          <w:rFonts w:ascii="Georgia" w:hAnsi="Georgia"/>
          <w:sz w:val="22"/>
        </w:rPr>
        <w:t>Right now the analysis required manually joining four separate files -- that's not sustainable for operational use. The Trust needs a single data warehouse built to NHS Data Dictionary standards, with ward, theatre and admin systems all writing to the same schema. No more four-file problem.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6.2  Connect to the EHR in real time</w:t>
      </w:r>
    </w:p>
    <w:p>
      <w:pPr>
        <w:spacing w:after="120"/>
      </w:pPr>
      <w:r>
        <w:rPr>
          <w:rFonts w:ascii="Georgia" w:hAnsi="Georgia"/>
          <w:sz w:val="22"/>
        </w:rPr>
        <w:t>If the EHR feeds key admission fields directly into the prediction pipeline via NHS Spine, the model can return a predicted discharge date before the patient reaches the ward. That's where the operational value actually sits -- not in weekly batch runs, but in live discharge planning from day one.</w:t>
      </w:r>
    </w:p>
    <w:p>
      <w:pPr>
        <w:spacing w:before="160" w:after="40"/>
      </w:pPr>
      <w:r>
        <w:rPr>
          <w:rFonts w:ascii="Georgia" w:hAnsi="Georgia"/>
          <w:b/>
          <w:color w:val="425263"/>
          <w:sz w:val="24"/>
        </w:rPr>
        <w:t>6.3  Minimum field set and data governance</w:t>
      </w:r>
    </w:p>
    <w:p>
      <w:pPr>
        <w:pStyle w:val="ListBullet"/>
      </w:pPr>
      <w:r>
        <w:rPr>
          <w:rFonts w:ascii="Georgia" w:hAnsi="Georgia"/>
          <w:sz w:val="22"/>
        </w:rPr>
        <w:t>The bare minimum is pseudonymised NHS Number, admission and discharge dates, ICD-10 procedure code, surgery-end and first-ambulation timestamps, gender and date of birth. Everything else the model uses gets derived from those anyway.</w:t>
      </w:r>
    </w:p>
    <w:p>
      <w:pPr>
        <w:pStyle w:val="ListBullet"/>
      </w:pPr>
      <w:r>
        <w:rPr>
          <w:rFonts w:ascii="Georgia" w:hAnsi="Georgia"/>
          <w:sz w:val="22"/>
        </w:rPr>
        <w:t>When bandwidth allows, Charlson Comorbidity Index and BMI are the two additions most likely to actually move the accuracy needle. A post-op complications flag would account for most of the high-LOS outliers the model currently misses.</w:t>
      </w:r>
    </w:p>
    <w:p>
      <w:pPr>
        <w:pStyle w:val="ListBullet"/>
      </w:pPr>
      <w:r>
        <w:rPr>
          <w:rFonts w:ascii="Georgia" w:hAnsi="Georgia"/>
          <w:sz w:val="22"/>
        </w:rPr>
        <w:t>Everything needs pseudonymising before it reaches the analytics environment. There'll need to be a DPIA before go-live. Patient-level predictions go to clinicians only; managers get aggregate trend views -- that's the NHS DSP Toolkit standard.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18"/>
      </w:rPr>
      <w:t xml:space="preserve">Page </w:t>
    </w:r>
    <w:r>
      <w:rPr>
        <w:rFonts w:ascii="Georgia" w:hAnsi="Georgia"/>
        <w:sz w:val="18"/>
      </w:rPr>
      <w:fldChar w:fldCharType="begin"/>
    </w:r>
    <w:r>
      <w:rPr>
        <w:rFonts w:ascii="Georgia" w:hAnsi="Georgia"/>
        <w:sz w:val="18"/>
      </w:rPr>
      <w:instrText>PAGE</w:instrText>
    </w:r>
    <w:r>
      <w:rPr>
        <w:rFonts w:ascii="Georgia" w:hAnsi="Georgia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i/>
        <w:color w:val="3A3A3A"/>
        <w:sz w:val="16"/>
      </w:rPr>
      <w:t>CONFIDENTIAL  |  MN5812  |  Hospital Stay Duration Case Study  |  Candidate: 2024MN5812001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