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85EF7" w14:textId="77777777" w:rsidR="00F51134" w:rsidRPr="00F51134" w:rsidRDefault="00F51134" w:rsidP="00F51134">
      <w:pPr>
        <w:rPr>
          <w:b/>
          <w:bCs/>
          <w:sz w:val="36"/>
          <w:szCs w:val="36"/>
        </w:rPr>
      </w:pPr>
      <w:r w:rsidRPr="00F51134">
        <w:rPr>
          <w:rFonts w:ascii="Segoe UI Emoji" w:hAnsi="Segoe UI Emoji" w:cs="Segoe UI Emoji"/>
          <w:b/>
          <w:bCs/>
          <w:sz w:val="36"/>
          <w:szCs w:val="36"/>
        </w:rPr>
        <w:t>🏛️</w:t>
      </w:r>
      <w:r w:rsidRPr="00F51134">
        <w:rPr>
          <w:b/>
          <w:bCs/>
          <w:sz w:val="36"/>
          <w:szCs w:val="36"/>
        </w:rPr>
        <w:t xml:space="preserve"> Ethnic Equity and Public Representation Bill, 2025</w:t>
      </w:r>
    </w:p>
    <w:p w14:paraId="376FF110" w14:textId="77777777" w:rsidR="00F51134" w:rsidRPr="00F51134" w:rsidRDefault="00F51134" w:rsidP="00F51134">
      <w:r w:rsidRPr="00F51134">
        <w:rPr>
          <w:i/>
          <w:iCs/>
        </w:rPr>
        <w:t>A Bill for an Act of Parliament</w:t>
      </w:r>
    </w:p>
    <w:p w14:paraId="2D67F984" w14:textId="478E0082" w:rsidR="00F51134" w:rsidRPr="00F51134" w:rsidRDefault="00F51134" w:rsidP="00F51134">
      <w:pPr>
        <w:rPr>
          <w:b/>
          <w:bCs/>
        </w:rPr>
      </w:pPr>
      <w:r w:rsidRPr="00F51134">
        <w:rPr>
          <w:b/>
          <w:bCs/>
        </w:rPr>
        <w:t>LONG TITLE</w:t>
      </w:r>
    </w:p>
    <w:p w14:paraId="08DBFB5F" w14:textId="77777777" w:rsidR="00F51134" w:rsidRPr="00F51134" w:rsidRDefault="00F51134" w:rsidP="00F51134">
      <w:r w:rsidRPr="00F51134">
        <w:rPr>
          <w:b/>
          <w:bCs/>
        </w:rPr>
        <w:t>A Bill for an Act of Parliament to provide for equitable representation of Kenya’s ethnic communities in public appointments and institutions of governance; to establish standards and mechanisms for ensuring ethnic balance in recruitment, promotion, and political conduct; to protect the public sector from ethnic capture; to promote issue-based politics through regulatory oversight of campaigns; and for connected purposes.</w:t>
      </w:r>
    </w:p>
    <w:p w14:paraId="6A911A20" w14:textId="77777777" w:rsidR="00EA7B63" w:rsidRDefault="00EA7B63">
      <w:pPr>
        <w:rPr>
          <w:b/>
          <w:bCs/>
        </w:rPr>
      </w:pPr>
    </w:p>
    <w:sdt>
      <w:sdtPr>
        <w:id w:val="40843479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31210DF" w14:textId="284C24CB" w:rsidR="00EA7B63" w:rsidRDefault="00EA7B63">
          <w:pPr>
            <w:pStyle w:val="TOCHeading"/>
          </w:pPr>
          <w:r>
            <w:t>Table of Contents</w:t>
          </w:r>
        </w:p>
        <w:p w14:paraId="28D9B50A" w14:textId="21D5AD6D" w:rsidR="00EA7B63" w:rsidRDefault="00EA7B63">
          <w:pPr>
            <w:pStyle w:val="TOC2"/>
            <w:tabs>
              <w:tab w:val="right" w:leader="dot" w:pos="9350"/>
            </w:tabs>
            <w:rPr>
              <w:noProof/>
            </w:rPr>
          </w:pPr>
          <w:r>
            <w:fldChar w:fldCharType="begin"/>
          </w:r>
          <w:r>
            <w:instrText xml:space="preserve"> TOC \o "1-3" \h \z \u </w:instrText>
          </w:r>
          <w:r>
            <w:fldChar w:fldCharType="separate"/>
          </w:r>
          <w:hyperlink w:anchor="_Toc202632740" w:history="1">
            <w:r w:rsidRPr="00B93133">
              <w:rPr>
                <w:rStyle w:val="Hyperlink"/>
                <w:noProof/>
              </w:rPr>
              <w:t>1. Citation and Commencement</w:t>
            </w:r>
            <w:r>
              <w:rPr>
                <w:noProof/>
                <w:webHidden/>
              </w:rPr>
              <w:tab/>
            </w:r>
            <w:r>
              <w:rPr>
                <w:noProof/>
                <w:webHidden/>
              </w:rPr>
              <w:fldChar w:fldCharType="begin"/>
            </w:r>
            <w:r>
              <w:rPr>
                <w:noProof/>
                <w:webHidden/>
              </w:rPr>
              <w:instrText xml:space="preserve"> PAGEREF _Toc202632740 \h </w:instrText>
            </w:r>
            <w:r>
              <w:rPr>
                <w:noProof/>
                <w:webHidden/>
              </w:rPr>
            </w:r>
            <w:r>
              <w:rPr>
                <w:noProof/>
                <w:webHidden/>
              </w:rPr>
              <w:fldChar w:fldCharType="separate"/>
            </w:r>
            <w:r>
              <w:rPr>
                <w:noProof/>
                <w:webHidden/>
              </w:rPr>
              <w:t>2</w:t>
            </w:r>
            <w:r>
              <w:rPr>
                <w:noProof/>
                <w:webHidden/>
              </w:rPr>
              <w:fldChar w:fldCharType="end"/>
            </w:r>
          </w:hyperlink>
        </w:p>
        <w:p w14:paraId="4302FF20" w14:textId="286FC493" w:rsidR="00EA7B63" w:rsidRDefault="00EA7B63">
          <w:pPr>
            <w:pStyle w:val="TOC2"/>
            <w:tabs>
              <w:tab w:val="right" w:leader="dot" w:pos="9350"/>
            </w:tabs>
            <w:rPr>
              <w:noProof/>
            </w:rPr>
          </w:pPr>
          <w:hyperlink w:anchor="_Toc202632741" w:history="1">
            <w:r w:rsidRPr="00B93133">
              <w:rPr>
                <w:rStyle w:val="Hyperlink"/>
                <w:noProof/>
              </w:rPr>
              <w:t>2. Interpretation</w:t>
            </w:r>
            <w:r>
              <w:rPr>
                <w:noProof/>
                <w:webHidden/>
              </w:rPr>
              <w:tab/>
            </w:r>
            <w:r>
              <w:rPr>
                <w:noProof/>
                <w:webHidden/>
              </w:rPr>
              <w:fldChar w:fldCharType="begin"/>
            </w:r>
            <w:r>
              <w:rPr>
                <w:noProof/>
                <w:webHidden/>
              </w:rPr>
              <w:instrText xml:space="preserve"> PAGEREF _Toc202632741 \h </w:instrText>
            </w:r>
            <w:r>
              <w:rPr>
                <w:noProof/>
                <w:webHidden/>
              </w:rPr>
            </w:r>
            <w:r>
              <w:rPr>
                <w:noProof/>
                <w:webHidden/>
              </w:rPr>
              <w:fldChar w:fldCharType="separate"/>
            </w:r>
            <w:r>
              <w:rPr>
                <w:noProof/>
                <w:webHidden/>
              </w:rPr>
              <w:t>3</w:t>
            </w:r>
            <w:r>
              <w:rPr>
                <w:noProof/>
                <w:webHidden/>
              </w:rPr>
              <w:fldChar w:fldCharType="end"/>
            </w:r>
          </w:hyperlink>
        </w:p>
        <w:p w14:paraId="650234D5" w14:textId="238B7DF9" w:rsidR="00EA7B63" w:rsidRDefault="00EA7B63">
          <w:pPr>
            <w:pStyle w:val="TOC2"/>
            <w:tabs>
              <w:tab w:val="right" w:leader="dot" w:pos="9350"/>
            </w:tabs>
            <w:rPr>
              <w:noProof/>
            </w:rPr>
          </w:pPr>
          <w:hyperlink w:anchor="_Toc202632742" w:history="1">
            <w:r w:rsidRPr="00B93133">
              <w:rPr>
                <w:rStyle w:val="Hyperlink"/>
                <w:noProof/>
              </w:rPr>
              <w:t>3. Objectives of the Act</w:t>
            </w:r>
            <w:r>
              <w:rPr>
                <w:noProof/>
                <w:webHidden/>
              </w:rPr>
              <w:tab/>
            </w:r>
            <w:r>
              <w:rPr>
                <w:noProof/>
                <w:webHidden/>
              </w:rPr>
              <w:fldChar w:fldCharType="begin"/>
            </w:r>
            <w:r>
              <w:rPr>
                <w:noProof/>
                <w:webHidden/>
              </w:rPr>
              <w:instrText xml:space="preserve"> PAGEREF _Toc202632742 \h </w:instrText>
            </w:r>
            <w:r>
              <w:rPr>
                <w:noProof/>
                <w:webHidden/>
              </w:rPr>
            </w:r>
            <w:r>
              <w:rPr>
                <w:noProof/>
                <w:webHidden/>
              </w:rPr>
              <w:fldChar w:fldCharType="separate"/>
            </w:r>
            <w:r>
              <w:rPr>
                <w:noProof/>
                <w:webHidden/>
              </w:rPr>
              <w:t>4</w:t>
            </w:r>
            <w:r>
              <w:rPr>
                <w:noProof/>
                <w:webHidden/>
              </w:rPr>
              <w:fldChar w:fldCharType="end"/>
            </w:r>
          </w:hyperlink>
        </w:p>
        <w:p w14:paraId="20B1B0CA" w14:textId="133F3499" w:rsidR="00EA7B63" w:rsidRDefault="00EA7B63">
          <w:pPr>
            <w:pStyle w:val="TOC2"/>
            <w:tabs>
              <w:tab w:val="right" w:leader="dot" w:pos="9350"/>
            </w:tabs>
            <w:rPr>
              <w:noProof/>
            </w:rPr>
          </w:pPr>
          <w:hyperlink w:anchor="_Toc202632743" w:history="1">
            <w:r w:rsidRPr="00B93133">
              <w:rPr>
                <w:rStyle w:val="Hyperlink"/>
                <w:noProof/>
              </w:rPr>
              <w:t>4. Establishment of the Centre for Ethnic Equity and National Inclusion (CEENI)</w:t>
            </w:r>
            <w:r>
              <w:rPr>
                <w:noProof/>
                <w:webHidden/>
              </w:rPr>
              <w:tab/>
            </w:r>
            <w:r>
              <w:rPr>
                <w:noProof/>
                <w:webHidden/>
              </w:rPr>
              <w:fldChar w:fldCharType="begin"/>
            </w:r>
            <w:r>
              <w:rPr>
                <w:noProof/>
                <w:webHidden/>
              </w:rPr>
              <w:instrText xml:space="preserve"> PAGEREF _Toc202632743 \h </w:instrText>
            </w:r>
            <w:r>
              <w:rPr>
                <w:noProof/>
                <w:webHidden/>
              </w:rPr>
            </w:r>
            <w:r>
              <w:rPr>
                <w:noProof/>
                <w:webHidden/>
              </w:rPr>
              <w:fldChar w:fldCharType="separate"/>
            </w:r>
            <w:r>
              <w:rPr>
                <w:noProof/>
                <w:webHidden/>
              </w:rPr>
              <w:t>5</w:t>
            </w:r>
            <w:r>
              <w:rPr>
                <w:noProof/>
                <w:webHidden/>
              </w:rPr>
              <w:fldChar w:fldCharType="end"/>
            </w:r>
          </w:hyperlink>
        </w:p>
        <w:p w14:paraId="5BD7EDF4" w14:textId="53F895F7" w:rsidR="00EA7B63" w:rsidRDefault="00EA7B63">
          <w:pPr>
            <w:pStyle w:val="TOC2"/>
            <w:tabs>
              <w:tab w:val="right" w:leader="dot" w:pos="9350"/>
            </w:tabs>
            <w:rPr>
              <w:noProof/>
            </w:rPr>
          </w:pPr>
          <w:hyperlink w:anchor="_Toc202632744" w:history="1">
            <w:r w:rsidRPr="00B93133">
              <w:rPr>
                <w:rStyle w:val="Hyperlink"/>
                <w:noProof/>
              </w:rPr>
              <w:t>5. Functions and Powers of CEENI</w:t>
            </w:r>
            <w:r>
              <w:rPr>
                <w:noProof/>
                <w:webHidden/>
              </w:rPr>
              <w:tab/>
            </w:r>
            <w:r>
              <w:rPr>
                <w:noProof/>
                <w:webHidden/>
              </w:rPr>
              <w:fldChar w:fldCharType="begin"/>
            </w:r>
            <w:r>
              <w:rPr>
                <w:noProof/>
                <w:webHidden/>
              </w:rPr>
              <w:instrText xml:space="preserve"> PAGEREF _Toc202632744 \h </w:instrText>
            </w:r>
            <w:r>
              <w:rPr>
                <w:noProof/>
                <w:webHidden/>
              </w:rPr>
            </w:r>
            <w:r>
              <w:rPr>
                <w:noProof/>
                <w:webHidden/>
              </w:rPr>
              <w:fldChar w:fldCharType="separate"/>
            </w:r>
            <w:r>
              <w:rPr>
                <w:noProof/>
                <w:webHidden/>
              </w:rPr>
              <w:t>6</w:t>
            </w:r>
            <w:r>
              <w:rPr>
                <w:noProof/>
                <w:webHidden/>
              </w:rPr>
              <w:fldChar w:fldCharType="end"/>
            </w:r>
          </w:hyperlink>
        </w:p>
        <w:p w14:paraId="05D088CE" w14:textId="019AFFF5" w:rsidR="00EA7B63" w:rsidRDefault="00EA7B63">
          <w:pPr>
            <w:pStyle w:val="TOC2"/>
            <w:tabs>
              <w:tab w:val="right" w:leader="dot" w:pos="9350"/>
            </w:tabs>
            <w:rPr>
              <w:noProof/>
            </w:rPr>
          </w:pPr>
          <w:hyperlink w:anchor="_Toc202632745" w:history="1">
            <w:r w:rsidRPr="00B93133">
              <w:rPr>
                <w:rStyle w:val="Hyperlink"/>
                <w:noProof/>
              </w:rPr>
              <w:t>6. Ethnic Equity Representation Formula and Compliance Standards</w:t>
            </w:r>
            <w:r>
              <w:rPr>
                <w:noProof/>
                <w:webHidden/>
              </w:rPr>
              <w:tab/>
            </w:r>
            <w:r>
              <w:rPr>
                <w:noProof/>
                <w:webHidden/>
              </w:rPr>
              <w:fldChar w:fldCharType="begin"/>
            </w:r>
            <w:r>
              <w:rPr>
                <w:noProof/>
                <w:webHidden/>
              </w:rPr>
              <w:instrText xml:space="preserve"> PAGEREF _Toc202632745 \h </w:instrText>
            </w:r>
            <w:r>
              <w:rPr>
                <w:noProof/>
                <w:webHidden/>
              </w:rPr>
            </w:r>
            <w:r>
              <w:rPr>
                <w:noProof/>
                <w:webHidden/>
              </w:rPr>
              <w:fldChar w:fldCharType="separate"/>
            </w:r>
            <w:r>
              <w:rPr>
                <w:noProof/>
                <w:webHidden/>
              </w:rPr>
              <w:t>7</w:t>
            </w:r>
            <w:r>
              <w:rPr>
                <w:noProof/>
                <w:webHidden/>
              </w:rPr>
              <w:fldChar w:fldCharType="end"/>
            </w:r>
          </w:hyperlink>
        </w:p>
        <w:p w14:paraId="2C1CEE2D" w14:textId="43C9D018" w:rsidR="00EA7B63" w:rsidRDefault="00EA7B63">
          <w:pPr>
            <w:pStyle w:val="TOC2"/>
            <w:tabs>
              <w:tab w:val="right" w:leader="dot" w:pos="9350"/>
            </w:tabs>
            <w:rPr>
              <w:noProof/>
            </w:rPr>
          </w:pPr>
          <w:hyperlink w:anchor="_Toc202632746" w:history="1">
            <w:r w:rsidRPr="00B93133">
              <w:rPr>
                <w:rStyle w:val="Hyperlink"/>
                <w:noProof/>
              </w:rPr>
              <w:t>7. Enforcement Mechanisms and Legal Sanctions</w:t>
            </w:r>
            <w:r>
              <w:rPr>
                <w:noProof/>
                <w:webHidden/>
              </w:rPr>
              <w:tab/>
            </w:r>
            <w:r>
              <w:rPr>
                <w:noProof/>
                <w:webHidden/>
              </w:rPr>
              <w:fldChar w:fldCharType="begin"/>
            </w:r>
            <w:r>
              <w:rPr>
                <w:noProof/>
                <w:webHidden/>
              </w:rPr>
              <w:instrText xml:space="preserve"> PAGEREF _Toc202632746 \h </w:instrText>
            </w:r>
            <w:r>
              <w:rPr>
                <w:noProof/>
                <w:webHidden/>
              </w:rPr>
            </w:r>
            <w:r>
              <w:rPr>
                <w:noProof/>
                <w:webHidden/>
              </w:rPr>
              <w:fldChar w:fldCharType="separate"/>
            </w:r>
            <w:r>
              <w:rPr>
                <w:noProof/>
                <w:webHidden/>
              </w:rPr>
              <w:t>8</w:t>
            </w:r>
            <w:r>
              <w:rPr>
                <w:noProof/>
                <w:webHidden/>
              </w:rPr>
              <w:fldChar w:fldCharType="end"/>
            </w:r>
          </w:hyperlink>
        </w:p>
        <w:p w14:paraId="6CE9F5AF" w14:textId="49440723" w:rsidR="00EA7B63" w:rsidRDefault="00EA7B63">
          <w:pPr>
            <w:pStyle w:val="TOC2"/>
            <w:tabs>
              <w:tab w:val="right" w:leader="dot" w:pos="9350"/>
            </w:tabs>
            <w:rPr>
              <w:noProof/>
            </w:rPr>
          </w:pPr>
          <w:hyperlink w:anchor="_Toc202632747" w:history="1">
            <w:r w:rsidRPr="00B93133">
              <w:rPr>
                <w:rStyle w:val="Hyperlink"/>
                <w:noProof/>
              </w:rPr>
              <w:t>8. Public Participation and Civic Engagement</w:t>
            </w:r>
            <w:r>
              <w:rPr>
                <w:noProof/>
                <w:webHidden/>
              </w:rPr>
              <w:tab/>
            </w:r>
            <w:r>
              <w:rPr>
                <w:noProof/>
                <w:webHidden/>
              </w:rPr>
              <w:fldChar w:fldCharType="begin"/>
            </w:r>
            <w:r>
              <w:rPr>
                <w:noProof/>
                <w:webHidden/>
              </w:rPr>
              <w:instrText xml:space="preserve"> PAGEREF _Toc202632747 \h </w:instrText>
            </w:r>
            <w:r>
              <w:rPr>
                <w:noProof/>
                <w:webHidden/>
              </w:rPr>
            </w:r>
            <w:r>
              <w:rPr>
                <w:noProof/>
                <w:webHidden/>
              </w:rPr>
              <w:fldChar w:fldCharType="separate"/>
            </w:r>
            <w:r>
              <w:rPr>
                <w:noProof/>
                <w:webHidden/>
              </w:rPr>
              <w:t>9</w:t>
            </w:r>
            <w:r>
              <w:rPr>
                <w:noProof/>
                <w:webHidden/>
              </w:rPr>
              <w:fldChar w:fldCharType="end"/>
            </w:r>
          </w:hyperlink>
        </w:p>
        <w:p w14:paraId="66832366" w14:textId="18C2514C" w:rsidR="00EA7B63" w:rsidRDefault="00EA7B63">
          <w:pPr>
            <w:pStyle w:val="TOC2"/>
            <w:tabs>
              <w:tab w:val="right" w:leader="dot" w:pos="9350"/>
            </w:tabs>
            <w:rPr>
              <w:noProof/>
            </w:rPr>
          </w:pPr>
          <w:hyperlink w:anchor="_Toc202632748" w:history="1">
            <w:r w:rsidRPr="00B93133">
              <w:rPr>
                <w:rStyle w:val="Hyperlink"/>
                <w:noProof/>
              </w:rPr>
              <w:t>9. Reporting Obligations and Transparency</w:t>
            </w:r>
            <w:r>
              <w:rPr>
                <w:noProof/>
                <w:webHidden/>
              </w:rPr>
              <w:tab/>
            </w:r>
            <w:r>
              <w:rPr>
                <w:noProof/>
                <w:webHidden/>
              </w:rPr>
              <w:fldChar w:fldCharType="begin"/>
            </w:r>
            <w:r>
              <w:rPr>
                <w:noProof/>
                <w:webHidden/>
              </w:rPr>
              <w:instrText xml:space="preserve"> PAGEREF _Toc202632748 \h </w:instrText>
            </w:r>
            <w:r>
              <w:rPr>
                <w:noProof/>
                <w:webHidden/>
              </w:rPr>
            </w:r>
            <w:r>
              <w:rPr>
                <w:noProof/>
                <w:webHidden/>
              </w:rPr>
              <w:fldChar w:fldCharType="separate"/>
            </w:r>
            <w:r>
              <w:rPr>
                <w:noProof/>
                <w:webHidden/>
              </w:rPr>
              <w:t>10</w:t>
            </w:r>
            <w:r>
              <w:rPr>
                <w:noProof/>
                <w:webHidden/>
              </w:rPr>
              <w:fldChar w:fldCharType="end"/>
            </w:r>
          </w:hyperlink>
        </w:p>
        <w:p w14:paraId="4FF1DE64" w14:textId="5AB8DBC0" w:rsidR="00EA7B63" w:rsidRDefault="00EA7B63">
          <w:pPr>
            <w:pStyle w:val="TOC2"/>
            <w:tabs>
              <w:tab w:val="right" w:leader="dot" w:pos="9350"/>
            </w:tabs>
            <w:rPr>
              <w:noProof/>
            </w:rPr>
          </w:pPr>
          <w:hyperlink w:anchor="_Toc202632749" w:history="1">
            <w:r w:rsidRPr="00B93133">
              <w:rPr>
                <w:rStyle w:val="Hyperlink"/>
                <w:noProof/>
              </w:rPr>
              <w:t>10. Miscellaneous and Transitional Provisions</w:t>
            </w:r>
            <w:r>
              <w:rPr>
                <w:noProof/>
                <w:webHidden/>
              </w:rPr>
              <w:tab/>
            </w:r>
            <w:r>
              <w:rPr>
                <w:noProof/>
                <w:webHidden/>
              </w:rPr>
              <w:fldChar w:fldCharType="begin"/>
            </w:r>
            <w:r>
              <w:rPr>
                <w:noProof/>
                <w:webHidden/>
              </w:rPr>
              <w:instrText xml:space="preserve"> PAGEREF _Toc202632749 \h </w:instrText>
            </w:r>
            <w:r>
              <w:rPr>
                <w:noProof/>
                <w:webHidden/>
              </w:rPr>
            </w:r>
            <w:r>
              <w:rPr>
                <w:noProof/>
                <w:webHidden/>
              </w:rPr>
              <w:fldChar w:fldCharType="separate"/>
            </w:r>
            <w:r>
              <w:rPr>
                <w:noProof/>
                <w:webHidden/>
              </w:rPr>
              <w:t>11</w:t>
            </w:r>
            <w:r>
              <w:rPr>
                <w:noProof/>
                <w:webHidden/>
              </w:rPr>
              <w:fldChar w:fldCharType="end"/>
            </w:r>
          </w:hyperlink>
        </w:p>
        <w:p w14:paraId="0CED701B" w14:textId="42CB9037" w:rsidR="00EA7B63" w:rsidRDefault="00EA7B63">
          <w:pPr>
            <w:pStyle w:val="TOC2"/>
            <w:tabs>
              <w:tab w:val="right" w:leader="dot" w:pos="9350"/>
            </w:tabs>
            <w:rPr>
              <w:noProof/>
            </w:rPr>
          </w:pPr>
          <w:hyperlink w:anchor="_Toc202632750" w:history="1">
            <w:r w:rsidRPr="00B93133">
              <w:rPr>
                <w:rStyle w:val="Hyperlink"/>
                <w:noProof/>
              </w:rPr>
              <w:t>11. Consequential Amendments</w:t>
            </w:r>
            <w:r>
              <w:rPr>
                <w:noProof/>
                <w:webHidden/>
              </w:rPr>
              <w:tab/>
            </w:r>
            <w:r>
              <w:rPr>
                <w:noProof/>
                <w:webHidden/>
              </w:rPr>
              <w:fldChar w:fldCharType="begin"/>
            </w:r>
            <w:r>
              <w:rPr>
                <w:noProof/>
                <w:webHidden/>
              </w:rPr>
              <w:instrText xml:space="preserve"> PAGEREF _Toc202632750 \h </w:instrText>
            </w:r>
            <w:r>
              <w:rPr>
                <w:noProof/>
                <w:webHidden/>
              </w:rPr>
            </w:r>
            <w:r>
              <w:rPr>
                <w:noProof/>
                <w:webHidden/>
              </w:rPr>
              <w:fldChar w:fldCharType="separate"/>
            </w:r>
            <w:r>
              <w:rPr>
                <w:noProof/>
                <w:webHidden/>
              </w:rPr>
              <w:t>12</w:t>
            </w:r>
            <w:r>
              <w:rPr>
                <w:noProof/>
                <w:webHidden/>
              </w:rPr>
              <w:fldChar w:fldCharType="end"/>
            </w:r>
          </w:hyperlink>
        </w:p>
        <w:p w14:paraId="0BF2841E" w14:textId="3D330E22" w:rsidR="00EA7B63" w:rsidRDefault="00EA7B63">
          <w:pPr>
            <w:pStyle w:val="TOC2"/>
            <w:tabs>
              <w:tab w:val="right" w:leader="dot" w:pos="9350"/>
            </w:tabs>
            <w:rPr>
              <w:noProof/>
            </w:rPr>
          </w:pPr>
          <w:hyperlink w:anchor="_Toc202632751" w:history="1">
            <w:r w:rsidRPr="00B93133">
              <w:rPr>
                <w:rStyle w:val="Hyperlink"/>
                <w:noProof/>
              </w:rPr>
              <w:t>12. Data Protection and Ethical Use of Identity</w:t>
            </w:r>
            <w:r>
              <w:rPr>
                <w:noProof/>
                <w:webHidden/>
              </w:rPr>
              <w:tab/>
            </w:r>
            <w:r>
              <w:rPr>
                <w:noProof/>
                <w:webHidden/>
              </w:rPr>
              <w:fldChar w:fldCharType="begin"/>
            </w:r>
            <w:r>
              <w:rPr>
                <w:noProof/>
                <w:webHidden/>
              </w:rPr>
              <w:instrText xml:space="preserve"> PAGEREF _Toc202632751 \h </w:instrText>
            </w:r>
            <w:r>
              <w:rPr>
                <w:noProof/>
                <w:webHidden/>
              </w:rPr>
            </w:r>
            <w:r>
              <w:rPr>
                <w:noProof/>
                <w:webHidden/>
              </w:rPr>
              <w:fldChar w:fldCharType="separate"/>
            </w:r>
            <w:r>
              <w:rPr>
                <w:noProof/>
                <w:webHidden/>
              </w:rPr>
              <w:t>13</w:t>
            </w:r>
            <w:r>
              <w:rPr>
                <w:noProof/>
                <w:webHidden/>
              </w:rPr>
              <w:fldChar w:fldCharType="end"/>
            </w:r>
          </w:hyperlink>
        </w:p>
        <w:p w14:paraId="71C3313C" w14:textId="4BE5667B" w:rsidR="00EA7B63" w:rsidRDefault="00EA7B63">
          <w:pPr>
            <w:pStyle w:val="TOC2"/>
            <w:tabs>
              <w:tab w:val="right" w:leader="dot" w:pos="9350"/>
            </w:tabs>
            <w:rPr>
              <w:noProof/>
            </w:rPr>
          </w:pPr>
          <w:hyperlink w:anchor="_Toc202632752" w:history="1">
            <w:r w:rsidRPr="00B93133">
              <w:rPr>
                <w:rStyle w:val="Hyperlink"/>
                <w:noProof/>
              </w:rPr>
              <w:t>13. Review and Oversight Mechanism</w:t>
            </w:r>
            <w:r>
              <w:rPr>
                <w:noProof/>
                <w:webHidden/>
              </w:rPr>
              <w:tab/>
            </w:r>
            <w:r>
              <w:rPr>
                <w:noProof/>
                <w:webHidden/>
              </w:rPr>
              <w:fldChar w:fldCharType="begin"/>
            </w:r>
            <w:r>
              <w:rPr>
                <w:noProof/>
                <w:webHidden/>
              </w:rPr>
              <w:instrText xml:space="preserve"> PAGEREF _Toc202632752 \h </w:instrText>
            </w:r>
            <w:r>
              <w:rPr>
                <w:noProof/>
                <w:webHidden/>
              </w:rPr>
            </w:r>
            <w:r>
              <w:rPr>
                <w:noProof/>
                <w:webHidden/>
              </w:rPr>
              <w:fldChar w:fldCharType="separate"/>
            </w:r>
            <w:r>
              <w:rPr>
                <w:noProof/>
                <w:webHidden/>
              </w:rPr>
              <w:t>14</w:t>
            </w:r>
            <w:r>
              <w:rPr>
                <w:noProof/>
                <w:webHidden/>
              </w:rPr>
              <w:fldChar w:fldCharType="end"/>
            </w:r>
          </w:hyperlink>
        </w:p>
        <w:p w14:paraId="6844CFCB" w14:textId="26C74DCB" w:rsidR="00EA7B63" w:rsidRDefault="00EA7B63">
          <w:pPr>
            <w:pStyle w:val="TOC2"/>
            <w:tabs>
              <w:tab w:val="right" w:leader="dot" w:pos="9350"/>
            </w:tabs>
            <w:rPr>
              <w:noProof/>
            </w:rPr>
          </w:pPr>
          <w:hyperlink w:anchor="_Toc202632753" w:history="1">
            <w:r w:rsidRPr="00B93133">
              <w:rPr>
                <w:rStyle w:val="Hyperlink"/>
                <w:noProof/>
              </w:rPr>
              <w:t>14. Whistleblower Protection Clause</w:t>
            </w:r>
            <w:r>
              <w:rPr>
                <w:noProof/>
                <w:webHidden/>
              </w:rPr>
              <w:tab/>
            </w:r>
            <w:r>
              <w:rPr>
                <w:noProof/>
                <w:webHidden/>
              </w:rPr>
              <w:fldChar w:fldCharType="begin"/>
            </w:r>
            <w:r>
              <w:rPr>
                <w:noProof/>
                <w:webHidden/>
              </w:rPr>
              <w:instrText xml:space="preserve"> PAGEREF _Toc202632753 \h </w:instrText>
            </w:r>
            <w:r>
              <w:rPr>
                <w:noProof/>
                <w:webHidden/>
              </w:rPr>
            </w:r>
            <w:r>
              <w:rPr>
                <w:noProof/>
                <w:webHidden/>
              </w:rPr>
              <w:fldChar w:fldCharType="separate"/>
            </w:r>
            <w:r>
              <w:rPr>
                <w:noProof/>
                <w:webHidden/>
              </w:rPr>
              <w:t>15</w:t>
            </w:r>
            <w:r>
              <w:rPr>
                <w:noProof/>
                <w:webHidden/>
              </w:rPr>
              <w:fldChar w:fldCharType="end"/>
            </w:r>
          </w:hyperlink>
        </w:p>
        <w:p w14:paraId="32E48879" w14:textId="6E73BD6A" w:rsidR="00EA7B63" w:rsidRDefault="00EA7B63">
          <w:pPr>
            <w:pStyle w:val="TOC2"/>
            <w:tabs>
              <w:tab w:val="right" w:leader="dot" w:pos="9350"/>
            </w:tabs>
            <w:rPr>
              <w:noProof/>
            </w:rPr>
          </w:pPr>
          <w:hyperlink w:anchor="_Toc202632754" w:history="1">
            <w:r w:rsidRPr="00B93133">
              <w:rPr>
                <w:rStyle w:val="Hyperlink"/>
                <w:noProof/>
              </w:rPr>
              <w:t>Annex A: Institutional Equity Grading Rubric (Scorecard Legend)</w:t>
            </w:r>
            <w:r>
              <w:rPr>
                <w:noProof/>
                <w:webHidden/>
              </w:rPr>
              <w:tab/>
            </w:r>
            <w:r>
              <w:rPr>
                <w:noProof/>
                <w:webHidden/>
              </w:rPr>
              <w:fldChar w:fldCharType="begin"/>
            </w:r>
            <w:r>
              <w:rPr>
                <w:noProof/>
                <w:webHidden/>
              </w:rPr>
              <w:instrText xml:space="preserve"> PAGEREF _Toc202632754 \h </w:instrText>
            </w:r>
            <w:r>
              <w:rPr>
                <w:noProof/>
                <w:webHidden/>
              </w:rPr>
            </w:r>
            <w:r>
              <w:rPr>
                <w:noProof/>
                <w:webHidden/>
              </w:rPr>
              <w:fldChar w:fldCharType="separate"/>
            </w:r>
            <w:r>
              <w:rPr>
                <w:noProof/>
                <w:webHidden/>
              </w:rPr>
              <w:t>16</w:t>
            </w:r>
            <w:r>
              <w:rPr>
                <w:noProof/>
                <w:webHidden/>
              </w:rPr>
              <w:fldChar w:fldCharType="end"/>
            </w:r>
          </w:hyperlink>
        </w:p>
        <w:p w14:paraId="045448C0" w14:textId="68C66309" w:rsidR="00EA7B63" w:rsidRDefault="00EA7B63">
          <w:pPr>
            <w:pStyle w:val="TOC2"/>
            <w:tabs>
              <w:tab w:val="right" w:leader="dot" w:pos="9350"/>
            </w:tabs>
            <w:rPr>
              <w:noProof/>
            </w:rPr>
          </w:pPr>
          <w:hyperlink w:anchor="_Toc202632755" w:history="1">
            <w:r w:rsidRPr="00B93133">
              <w:rPr>
                <w:rStyle w:val="Hyperlink"/>
                <w:noProof/>
              </w:rPr>
              <w:t>Annex B: - Schedule: Reference Table of Ethnic Group Population Shares (2019 Census)</w:t>
            </w:r>
            <w:r>
              <w:rPr>
                <w:noProof/>
                <w:webHidden/>
              </w:rPr>
              <w:tab/>
            </w:r>
            <w:r>
              <w:rPr>
                <w:noProof/>
                <w:webHidden/>
              </w:rPr>
              <w:fldChar w:fldCharType="begin"/>
            </w:r>
            <w:r>
              <w:rPr>
                <w:noProof/>
                <w:webHidden/>
              </w:rPr>
              <w:instrText xml:space="preserve"> PAGEREF _Toc202632755 \h </w:instrText>
            </w:r>
            <w:r>
              <w:rPr>
                <w:noProof/>
                <w:webHidden/>
              </w:rPr>
            </w:r>
            <w:r>
              <w:rPr>
                <w:noProof/>
                <w:webHidden/>
              </w:rPr>
              <w:fldChar w:fldCharType="separate"/>
            </w:r>
            <w:r>
              <w:rPr>
                <w:noProof/>
                <w:webHidden/>
              </w:rPr>
              <w:t>17</w:t>
            </w:r>
            <w:r>
              <w:rPr>
                <w:noProof/>
                <w:webHidden/>
              </w:rPr>
              <w:fldChar w:fldCharType="end"/>
            </w:r>
          </w:hyperlink>
        </w:p>
        <w:p w14:paraId="571E06D7" w14:textId="1DD24FCD" w:rsidR="00EA7B63" w:rsidRDefault="00EA7B63">
          <w:r>
            <w:rPr>
              <w:b/>
              <w:bCs/>
              <w:noProof/>
            </w:rPr>
            <w:fldChar w:fldCharType="end"/>
          </w:r>
        </w:p>
      </w:sdtContent>
    </w:sdt>
    <w:p w14:paraId="44C57821" w14:textId="77777777" w:rsidR="00EA7B63" w:rsidRPr="00EA7B63" w:rsidRDefault="00EA7B63"/>
    <w:p w14:paraId="4979A15C" w14:textId="5BA42FAA" w:rsidR="00F51134" w:rsidRDefault="00F51134">
      <w:pPr>
        <w:rPr>
          <w:b/>
          <w:bCs/>
        </w:rPr>
      </w:pPr>
      <w:r>
        <w:rPr>
          <w:b/>
          <w:bCs/>
        </w:rPr>
        <w:br w:type="page"/>
      </w:r>
    </w:p>
    <w:p w14:paraId="53FD78C5" w14:textId="2DB66627" w:rsidR="00F51134" w:rsidRPr="00F51134" w:rsidRDefault="00F51134" w:rsidP="00F64CB3">
      <w:pPr>
        <w:pStyle w:val="Heading2"/>
      </w:pPr>
      <w:bookmarkStart w:id="0" w:name="_Toc202632740"/>
      <w:r w:rsidRPr="00F51134">
        <w:lastRenderedPageBreak/>
        <w:t>1. Citation and Commencement</w:t>
      </w:r>
      <w:bookmarkEnd w:id="0"/>
    </w:p>
    <w:p w14:paraId="3E0EF156" w14:textId="77777777" w:rsidR="00F51134" w:rsidRPr="00F51134" w:rsidRDefault="00F51134" w:rsidP="00F51134">
      <w:pPr>
        <w:numPr>
          <w:ilvl w:val="0"/>
          <w:numId w:val="1"/>
        </w:numPr>
      </w:pPr>
      <w:r w:rsidRPr="00F51134">
        <w:t xml:space="preserve">This Act may be cited as the </w:t>
      </w:r>
      <w:r w:rsidRPr="00F51134">
        <w:rPr>
          <w:b/>
          <w:bCs/>
        </w:rPr>
        <w:t>Ethnic Equity and Public Representation Act, 2025</w:t>
      </w:r>
      <w:r w:rsidRPr="00F51134">
        <w:t>.</w:t>
      </w:r>
    </w:p>
    <w:p w14:paraId="5E4D4CED" w14:textId="77777777" w:rsidR="00F51134" w:rsidRPr="00F51134" w:rsidRDefault="00F51134" w:rsidP="00F51134">
      <w:pPr>
        <w:numPr>
          <w:ilvl w:val="0"/>
          <w:numId w:val="1"/>
        </w:numPr>
      </w:pPr>
      <w:r w:rsidRPr="00F51134">
        <w:t xml:space="preserve">This Act shall come into force on such </w:t>
      </w:r>
      <w:proofErr w:type="gramStart"/>
      <w:r w:rsidRPr="00F51134">
        <w:t>date</w:t>
      </w:r>
      <w:proofErr w:type="gramEnd"/>
      <w:r w:rsidRPr="00F51134">
        <w:t xml:space="preserve"> as the Cabinet Secretary may, by notice in the Gazette, appoint, and different dates may be appointed for different provisions.</w:t>
      </w:r>
    </w:p>
    <w:p w14:paraId="79952578" w14:textId="5A30334B" w:rsidR="00F51134" w:rsidRDefault="00F51134">
      <w:r>
        <w:br w:type="page"/>
      </w:r>
    </w:p>
    <w:p w14:paraId="530A74C8" w14:textId="77777777" w:rsidR="00F51134" w:rsidRPr="00F51134" w:rsidRDefault="00F51134" w:rsidP="00F64CB3">
      <w:pPr>
        <w:pStyle w:val="Heading2"/>
      </w:pPr>
      <w:bookmarkStart w:id="1" w:name="_Toc202632741"/>
      <w:r w:rsidRPr="00F51134">
        <w:lastRenderedPageBreak/>
        <w:t>2. Interpretation</w:t>
      </w:r>
      <w:bookmarkEnd w:id="1"/>
    </w:p>
    <w:p w14:paraId="532F0C86" w14:textId="77777777" w:rsidR="00F51134" w:rsidRPr="00F51134" w:rsidRDefault="00F51134" w:rsidP="00F51134">
      <w:r w:rsidRPr="00F51134">
        <w:t>In this Act, unless the context otherwise requires—</w:t>
      </w:r>
    </w:p>
    <w:p w14:paraId="4F0051C9" w14:textId="77777777" w:rsidR="00F51134" w:rsidRPr="00F51134" w:rsidRDefault="00F51134" w:rsidP="00F51134">
      <w:pPr>
        <w:numPr>
          <w:ilvl w:val="0"/>
          <w:numId w:val="2"/>
        </w:numPr>
      </w:pPr>
      <w:r w:rsidRPr="00F51134">
        <w:rPr>
          <w:b/>
          <w:bCs/>
        </w:rPr>
        <w:t>“Cabinet”</w:t>
      </w:r>
      <w:r w:rsidRPr="00F51134">
        <w:t xml:space="preserve"> means the national executive body established under Article 152 of the </w:t>
      </w:r>
      <w:proofErr w:type="gramStart"/>
      <w:r w:rsidRPr="00F51134">
        <w:t>Constitution;</w:t>
      </w:r>
      <w:proofErr w:type="gramEnd"/>
    </w:p>
    <w:p w14:paraId="5A4E7571" w14:textId="77777777" w:rsidR="00F51134" w:rsidRPr="00F51134" w:rsidRDefault="00F51134" w:rsidP="00F51134">
      <w:pPr>
        <w:numPr>
          <w:ilvl w:val="0"/>
          <w:numId w:val="2"/>
        </w:numPr>
      </w:pPr>
      <w:r w:rsidRPr="00F51134">
        <w:rPr>
          <w:b/>
          <w:bCs/>
        </w:rPr>
        <w:t>“CEENI”</w:t>
      </w:r>
      <w:r w:rsidRPr="00F51134">
        <w:t xml:space="preserve"> means the Centre for Ethnic Equity and National Inclusion established under this </w:t>
      </w:r>
      <w:proofErr w:type="gramStart"/>
      <w:r w:rsidRPr="00F51134">
        <w:t>Act;</w:t>
      </w:r>
      <w:proofErr w:type="gramEnd"/>
    </w:p>
    <w:p w14:paraId="0EFC5FB2" w14:textId="77777777" w:rsidR="00F51134" w:rsidRPr="00F51134" w:rsidRDefault="00F51134" w:rsidP="00F51134">
      <w:pPr>
        <w:numPr>
          <w:ilvl w:val="0"/>
          <w:numId w:val="2"/>
        </w:numPr>
      </w:pPr>
      <w:r w:rsidRPr="00F51134">
        <w:rPr>
          <w:b/>
          <w:bCs/>
        </w:rPr>
        <w:t>“Commission”</w:t>
      </w:r>
      <w:r w:rsidRPr="00F51134">
        <w:t xml:space="preserve"> means the National Cohesion and Integration Commission (NCIC</w:t>
      </w:r>
      <w:proofErr w:type="gramStart"/>
      <w:r w:rsidRPr="00F51134">
        <w:t>);</w:t>
      </w:r>
      <w:proofErr w:type="gramEnd"/>
    </w:p>
    <w:p w14:paraId="02EFFBDF" w14:textId="77777777" w:rsidR="00F51134" w:rsidRPr="00F51134" w:rsidRDefault="00F51134" w:rsidP="00F51134">
      <w:pPr>
        <w:numPr>
          <w:ilvl w:val="0"/>
          <w:numId w:val="2"/>
        </w:numPr>
      </w:pPr>
      <w:r w:rsidRPr="00F51134">
        <w:rPr>
          <w:b/>
          <w:bCs/>
        </w:rPr>
        <w:t>“</w:t>
      </w:r>
      <w:proofErr w:type="gramStart"/>
      <w:r w:rsidRPr="00F51134">
        <w:rPr>
          <w:b/>
          <w:bCs/>
        </w:rPr>
        <w:t>ethnic</w:t>
      </w:r>
      <w:proofErr w:type="gramEnd"/>
      <w:r w:rsidRPr="00F51134">
        <w:rPr>
          <w:b/>
          <w:bCs/>
        </w:rPr>
        <w:t xml:space="preserve"> equity”</w:t>
      </w:r>
      <w:r w:rsidRPr="00F51134">
        <w:t xml:space="preserve"> means the fair and proportionate inclusion of Kenya’s ethnic groups in public institutions, based on the most recent national population </w:t>
      </w:r>
      <w:proofErr w:type="gramStart"/>
      <w:r w:rsidRPr="00F51134">
        <w:t>census;</w:t>
      </w:r>
      <w:proofErr w:type="gramEnd"/>
    </w:p>
    <w:p w14:paraId="4B9E4312" w14:textId="77777777" w:rsidR="00F51134" w:rsidRPr="00F51134" w:rsidRDefault="00F51134" w:rsidP="00F51134">
      <w:pPr>
        <w:numPr>
          <w:ilvl w:val="0"/>
          <w:numId w:val="2"/>
        </w:numPr>
      </w:pPr>
      <w:r w:rsidRPr="00F51134">
        <w:rPr>
          <w:b/>
          <w:bCs/>
        </w:rPr>
        <w:t>“</w:t>
      </w:r>
      <w:proofErr w:type="gramStart"/>
      <w:r w:rsidRPr="00F51134">
        <w:rPr>
          <w:b/>
          <w:bCs/>
        </w:rPr>
        <w:t>ethnic</w:t>
      </w:r>
      <w:proofErr w:type="gramEnd"/>
      <w:r w:rsidRPr="00F51134">
        <w:rPr>
          <w:b/>
          <w:bCs/>
        </w:rPr>
        <w:t xml:space="preserve"> group”</w:t>
      </w:r>
      <w:r w:rsidRPr="00F51134">
        <w:t xml:space="preserve"> means a community of persons who share a common ancestry, language, culture, or heritage, and are recognized as such under the Constitution or national census </w:t>
      </w:r>
      <w:proofErr w:type="gramStart"/>
      <w:r w:rsidRPr="00F51134">
        <w:t>classifications;</w:t>
      </w:r>
      <w:proofErr w:type="gramEnd"/>
    </w:p>
    <w:p w14:paraId="117FF810" w14:textId="77777777" w:rsidR="00F51134" w:rsidRPr="00F51134" w:rsidRDefault="00F51134" w:rsidP="00F51134">
      <w:pPr>
        <w:numPr>
          <w:ilvl w:val="0"/>
          <w:numId w:val="2"/>
        </w:numPr>
      </w:pPr>
      <w:r w:rsidRPr="00F51134">
        <w:rPr>
          <w:b/>
          <w:bCs/>
        </w:rPr>
        <w:t>“</w:t>
      </w:r>
      <w:proofErr w:type="gramStart"/>
      <w:r w:rsidRPr="00F51134">
        <w:rPr>
          <w:b/>
          <w:bCs/>
        </w:rPr>
        <w:t>ethnic</w:t>
      </w:r>
      <w:proofErr w:type="gramEnd"/>
      <w:r w:rsidRPr="00F51134">
        <w:rPr>
          <w:b/>
          <w:bCs/>
        </w:rPr>
        <w:t xml:space="preserve"> representation index”</w:t>
      </w:r>
      <w:r w:rsidRPr="00F51134">
        <w:t xml:space="preserve"> means the ratio of a group’s representation in a public institution relative to its national population </w:t>
      </w:r>
      <w:proofErr w:type="gramStart"/>
      <w:r w:rsidRPr="00F51134">
        <w:t>share;</w:t>
      </w:r>
      <w:proofErr w:type="gramEnd"/>
    </w:p>
    <w:p w14:paraId="755C4537" w14:textId="77777777" w:rsidR="00F51134" w:rsidRPr="00F51134" w:rsidRDefault="00F51134" w:rsidP="00F51134">
      <w:pPr>
        <w:numPr>
          <w:ilvl w:val="0"/>
          <w:numId w:val="2"/>
        </w:numPr>
      </w:pPr>
      <w:r w:rsidRPr="00F51134">
        <w:rPr>
          <w:b/>
          <w:bCs/>
        </w:rPr>
        <w:t>“</w:t>
      </w:r>
      <w:proofErr w:type="gramStart"/>
      <w:r w:rsidRPr="00F51134">
        <w:rPr>
          <w:b/>
          <w:bCs/>
        </w:rPr>
        <w:t>hate</w:t>
      </w:r>
      <w:proofErr w:type="gramEnd"/>
      <w:r w:rsidRPr="00F51134">
        <w:rPr>
          <w:b/>
          <w:bCs/>
        </w:rPr>
        <w:t xml:space="preserve"> speech”</w:t>
      </w:r>
      <w:r w:rsidRPr="00F51134">
        <w:t xml:space="preserve"> has the meaning assigned to it under the National Cohesion and Integration Act, and includes any expression that incites ethnic hostility or </w:t>
      </w:r>
      <w:proofErr w:type="gramStart"/>
      <w:r w:rsidRPr="00F51134">
        <w:t>contempt;</w:t>
      </w:r>
      <w:proofErr w:type="gramEnd"/>
    </w:p>
    <w:p w14:paraId="6FD85327" w14:textId="77777777" w:rsidR="00F51134" w:rsidRPr="00F51134" w:rsidRDefault="00F51134" w:rsidP="00F51134">
      <w:pPr>
        <w:numPr>
          <w:ilvl w:val="0"/>
          <w:numId w:val="2"/>
        </w:numPr>
      </w:pPr>
      <w:r w:rsidRPr="00F51134">
        <w:rPr>
          <w:b/>
          <w:bCs/>
        </w:rPr>
        <w:t>“</w:t>
      </w:r>
      <w:proofErr w:type="gramStart"/>
      <w:r w:rsidRPr="00F51134">
        <w:rPr>
          <w:b/>
          <w:bCs/>
        </w:rPr>
        <w:t>issue</w:t>
      </w:r>
      <w:proofErr w:type="gramEnd"/>
      <w:r w:rsidRPr="00F51134">
        <w:rPr>
          <w:b/>
          <w:bCs/>
        </w:rPr>
        <w:t>-based campaigning”</w:t>
      </w:r>
      <w:r w:rsidRPr="00F51134">
        <w:t xml:space="preserve"> means political messaging focused on public policies, programs, development agendas, or constitutional values, rather than ethnic identity or tribal </w:t>
      </w:r>
      <w:proofErr w:type="gramStart"/>
      <w:r w:rsidRPr="00F51134">
        <w:t>allegiance;</w:t>
      </w:r>
      <w:proofErr w:type="gramEnd"/>
    </w:p>
    <w:p w14:paraId="58FAE8E4" w14:textId="77777777" w:rsidR="00F51134" w:rsidRPr="00F51134" w:rsidRDefault="00F51134" w:rsidP="00F51134">
      <w:pPr>
        <w:numPr>
          <w:ilvl w:val="0"/>
          <w:numId w:val="2"/>
        </w:numPr>
      </w:pPr>
      <w:r w:rsidRPr="00F51134">
        <w:rPr>
          <w:b/>
          <w:bCs/>
        </w:rPr>
        <w:t>“</w:t>
      </w:r>
      <w:proofErr w:type="gramStart"/>
      <w:r w:rsidRPr="00F51134">
        <w:rPr>
          <w:b/>
          <w:bCs/>
        </w:rPr>
        <w:t>marginalized</w:t>
      </w:r>
      <w:proofErr w:type="gramEnd"/>
      <w:r w:rsidRPr="00F51134">
        <w:rPr>
          <w:b/>
          <w:bCs/>
        </w:rPr>
        <w:t xml:space="preserve"> group”</w:t>
      </w:r>
      <w:r w:rsidRPr="00F51134">
        <w:t xml:space="preserve"> has the meaning assigned to it under Article 260 of the </w:t>
      </w:r>
      <w:proofErr w:type="gramStart"/>
      <w:r w:rsidRPr="00F51134">
        <w:t>Constitution;</w:t>
      </w:r>
      <w:proofErr w:type="gramEnd"/>
    </w:p>
    <w:p w14:paraId="2CC5580F" w14:textId="77777777" w:rsidR="00F51134" w:rsidRPr="00F51134" w:rsidRDefault="00F51134" w:rsidP="00F51134">
      <w:pPr>
        <w:numPr>
          <w:ilvl w:val="0"/>
          <w:numId w:val="2"/>
        </w:numPr>
      </w:pPr>
      <w:r w:rsidRPr="00F51134">
        <w:rPr>
          <w:b/>
          <w:bCs/>
        </w:rPr>
        <w:t>“</w:t>
      </w:r>
      <w:proofErr w:type="gramStart"/>
      <w:r w:rsidRPr="00F51134">
        <w:rPr>
          <w:b/>
          <w:bCs/>
        </w:rPr>
        <w:t>public</w:t>
      </w:r>
      <w:proofErr w:type="gramEnd"/>
      <w:r w:rsidRPr="00F51134">
        <w:rPr>
          <w:b/>
          <w:bCs/>
        </w:rPr>
        <w:t xml:space="preserve"> institution”</w:t>
      </w:r>
      <w:r w:rsidRPr="00F51134">
        <w:t xml:space="preserve"> means any office, agency, commission, parastatal, department, state corporation, or authority established under national or county </w:t>
      </w:r>
      <w:proofErr w:type="gramStart"/>
      <w:r w:rsidRPr="00F51134">
        <w:t>government;</w:t>
      </w:r>
      <w:proofErr w:type="gramEnd"/>
    </w:p>
    <w:p w14:paraId="29CFFA23" w14:textId="77777777" w:rsidR="00F51134" w:rsidRPr="00F51134" w:rsidRDefault="00F51134" w:rsidP="00F51134">
      <w:pPr>
        <w:numPr>
          <w:ilvl w:val="0"/>
          <w:numId w:val="2"/>
        </w:numPr>
      </w:pPr>
      <w:r w:rsidRPr="00F51134">
        <w:rPr>
          <w:b/>
          <w:bCs/>
        </w:rPr>
        <w:t>“</w:t>
      </w:r>
      <w:proofErr w:type="gramStart"/>
      <w:r w:rsidRPr="00F51134">
        <w:rPr>
          <w:b/>
          <w:bCs/>
        </w:rPr>
        <w:t>relevant</w:t>
      </w:r>
      <w:proofErr w:type="gramEnd"/>
      <w:r w:rsidRPr="00F51134">
        <w:rPr>
          <w:b/>
          <w:bCs/>
        </w:rPr>
        <w:t xml:space="preserve"> appointing authority”</w:t>
      </w:r>
      <w:r w:rsidRPr="00F51134">
        <w:t xml:space="preserve"> means the person or body responsible for making or approving public appointments under </w:t>
      </w:r>
      <w:proofErr w:type="gramStart"/>
      <w:r w:rsidRPr="00F51134">
        <w:t>law;</w:t>
      </w:r>
      <w:proofErr w:type="gramEnd"/>
    </w:p>
    <w:p w14:paraId="2ABBDD85" w14:textId="77777777" w:rsidR="00F51134" w:rsidRPr="00F51134" w:rsidRDefault="00F51134" w:rsidP="00F51134">
      <w:pPr>
        <w:numPr>
          <w:ilvl w:val="0"/>
          <w:numId w:val="2"/>
        </w:numPr>
      </w:pPr>
      <w:r w:rsidRPr="00F51134">
        <w:rPr>
          <w:b/>
          <w:bCs/>
        </w:rPr>
        <w:t>“</w:t>
      </w:r>
      <w:proofErr w:type="gramStart"/>
      <w:r w:rsidRPr="00F51134">
        <w:rPr>
          <w:b/>
          <w:bCs/>
        </w:rPr>
        <w:t>tribal</w:t>
      </w:r>
      <w:proofErr w:type="gramEnd"/>
      <w:r w:rsidRPr="00F51134">
        <w:rPr>
          <w:b/>
          <w:bCs/>
        </w:rPr>
        <w:t xml:space="preserve"> incitement”</w:t>
      </w:r>
      <w:r w:rsidRPr="00F51134">
        <w:t xml:space="preserve"> means any political speech, campaign message, publication, or conduct intended to stir negative ethnic sentiment, hostility, division, or exclusion.</w:t>
      </w:r>
    </w:p>
    <w:p w14:paraId="062C9B2B" w14:textId="23AA3670" w:rsidR="00F51134" w:rsidRDefault="00F51134">
      <w:r>
        <w:br w:type="page"/>
      </w:r>
    </w:p>
    <w:p w14:paraId="54C589F2" w14:textId="77777777" w:rsidR="00F51134" w:rsidRPr="00F51134" w:rsidRDefault="00F51134" w:rsidP="00F64CB3">
      <w:pPr>
        <w:pStyle w:val="Heading2"/>
      </w:pPr>
      <w:bookmarkStart w:id="2" w:name="_Toc202632742"/>
      <w:r w:rsidRPr="00F51134">
        <w:lastRenderedPageBreak/>
        <w:t>3. Objectives of the Act</w:t>
      </w:r>
      <w:bookmarkEnd w:id="2"/>
    </w:p>
    <w:p w14:paraId="3949EE84" w14:textId="77777777" w:rsidR="00F51134" w:rsidRPr="00F51134" w:rsidRDefault="00F51134" w:rsidP="00F51134">
      <w:r w:rsidRPr="00F51134">
        <w:t>The objectives of this Act are to:</w:t>
      </w:r>
    </w:p>
    <w:p w14:paraId="6450237B" w14:textId="6D12FDF3" w:rsidR="00F51134" w:rsidRPr="00F51134" w:rsidRDefault="00F51134" w:rsidP="00F51134">
      <w:pPr>
        <w:pStyle w:val="ListParagraph"/>
        <w:numPr>
          <w:ilvl w:val="0"/>
          <w:numId w:val="3"/>
        </w:numPr>
      </w:pPr>
      <w:r w:rsidRPr="00F51134">
        <w:t xml:space="preserve">provide mechanisms for equitable ethnic representation in public </w:t>
      </w:r>
      <w:proofErr w:type="gramStart"/>
      <w:r w:rsidRPr="00F51134">
        <w:t>service;</w:t>
      </w:r>
      <w:proofErr w:type="gramEnd"/>
    </w:p>
    <w:p w14:paraId="716E043E" w14:textId="79C4E168" w:rsidR="00F51134" w:rsidRPr="00F51134" w:rsidRDefault="00F51134" w:rsidP="00F51134">
      <w:pPr>
        <w:pStyle w:val="ListParagraph"/>
        <w:numPr>
          <w:ilvl w:val="0"/>
          <w:numId w:val="3"/>
        </w:numPr>
      </w:pPr>
      <w:r w:rsidRPr="00F51134">
        <w:t xml:space="preserve">guide public institutions on ethnic balance in appointments, promotions, and leadership </w:t>
      </w:r>
      <w:proofErr w:type="gramStart"/>
      <w:r w:rsidRPr="00F51134">
        <w:t>composition;</w:t>
      </w:r>
      <w:proofErr w:type="gramEnd"/>
    </w:p>
    <w:p w14:paraId="24A5A135" w14:textId="2EA72ED0" w:rsidR="00F51134" w:rsidRPr="00F51134" w:rsidRDefault="00F51134" w:rsidP="00F51134">
      <w:pPr>
        <w:pStyle w:val="ListParagraph"/>
        <w:numPr>
          <w:ilvl w:val="0"/>
          <w:numId w:val="3"/>
        </w:numPr>
      </w:pPr>
      <w:r w:rsidRPr="00F51134">
        <w:t xml:space="preserve">prevent the dominance of any one ethnic group in public institutions and decision-making </w:t>
      </w:r>
      <w:proofErr w:type="gramStart"/>
      <w:r w:rsidRPr="00F51134">
        <w:t>bodies;</w:t>
      </w:r>
      <w:proofErr w:type="gramEnd"/>
    </w:p>
    <w:p w14:paraId="01262A47" w14:textId="211CEEF9" w:rsidR="00F51134" w:rsidRPr="00F51134" w:rsidRDefault="00F51134" w:rsidP="00F51134">
      <w:pPr>
        <w:pStyle w:val="ListParagraph"/>
        <w:numPr>
          <w:ilvl w:val="0"/>
          <w:numId w:val="3"/>
        </w:numPr>
      </w:pPr>
      <w:r w:rsidRPr="00F51134">
        <w:t xml:space="preserve">promote national cohesion and shared prosperity through inclusive </w:t>
      </w:r>
      <w:proofErr w:type="gramStart"/>
      <w:r w:rsidRPr="00F51134">
        <w:t>governance;</w:t>
      </w:r>
      <w:proofErr w:type="gramEnd"/>
    </w:p>
    <w:p w14:paraId="303085DD" w14:textId="03E7179D" w:rsidR="00F51134" w:rsidRPr="00F51134" w:rsidRDefault="00F51134" w:rsidP="00F51134">
      <w:pPr>
        <w:pStyle w:val="ListParagraph"/>
        <w:numPr>
          <w:ilvl w:val="0"/>
          <w:numId w:val="3"/>
        </w:numPr>
      </w:pPr>
      <w:r w:rsidRPr="00F51134">
        <w:t xml:space="preserve">establish the Centre for Ethnic Equity and National Inclusion (CEENI) to monitor, audit, and enforce </w:t>
      </w:r>
      <w:proofErr w:type="gramStart"/>
      <w:r w:rsidRPr="00F51134">
        <w:t>compliance;</w:t>
      </w:r>
      <w:proofErr w:type="gramEnd"/>
    </w:p>
    <w:p w14:paraId="508C3F3C" w14:textId="11B65253" w:rsidR="00F51134" w:rsidRPr="00F51134" w:rsidRDefault="00F51134" w:rsidP="00F51134">
      <w:pPr>
        <w:pStyle w:val="ListParagraph"/>
        <w:numPr>
          <w:ilvl w:val="0"/>
          <w:numId w:val="3"/>
        </w:numPr>
      </w:pPr>
      <w:r w:rsidRPr="00F51134">
        <w:t xml:space="preserve">protect the Republic from ethnic favoritism as a political tool by regulating political campaign </w:t>
      </w:r>
      <w:proofErr w:type="gramStart"/>
      <w:r w:rsidRPr="00F51134">
        <w:t>conduct;</w:t>
      </w:r>
      <w:proofErr w:type="gramEnd"/>
    </w:p>
    <w:p w14:paraId="2F62BEDF" w14:textId="70B36B28" w:rsidR="00F51134" w:rsidRPr="00F51134" w:rsidRDefault="00F51134" w:rsidP="00F51134">
      <w:pPr>
        <w:pStyle w:val="ListParagraph"/>
        <w:numPr>
          <w:ilvl w:val="0"/>
          <w:numId w:val="3"/>
        </w:numPr>
      </w:pPr>
      <w:r w:rsidRPr="00F51134">
        <w:t>promote issue-based political competition grounded in policy platforms, not ethnic arithmetic.</w:t>
      </w:r>
    </w:p>
    <w:p w14:paraId="39567FAC" w14:textId="792D1483" w:rsidR="00F51134" w:rsidRDefault="00F51134">
      <w:r>
        <w:br w:type="page"/>
      </w:r>
    </w:p>
    <w:p w14:paraId="704899B3" w14:textId="77777777" w:rsidR="00F51134" w:rsidRPr="00F51134" w:rsidRDefault="00F51134" w:rsidP="00F64CB3">
      <w:pPr>
        <w:pStyle w:val="Heading2"/>
      </w:pPr>
      <w:bookmarkStart w:id="3" w:name="_Toc202632743"/>
      <w:r w:rsidRPr="00F51134">
        <w:lastRenderedPageBreak/>
        <w:t>4. Establishment of the Centre for Ethnic Equity and National Inclusion (CEENI)</w:t>
      </w:r>
      <w:bookmarkEnd w:id="3"/>
    </w:p>
    <w:p w14:paraId="2C3D616A" w14:textId="77777777" w:rsidR="00F51134" w:rsidRPr="00F51134" w:rsidRDefault="00F51134" w:rsidP="00F51134">
      <w:pPr>
        <w:numPr>
          <w:ilvl w:val="0"/>
          <w:numId w:val="5"/>
        </w:numPr>
      </w:pPr>
      <w:r w:rsidRPr="00F51134">
        <w:t xml:space="preserve">There is hereby established a body to be known as the </w:t>
      </w:r>
      <w:r w:rsidRPr="00F51134">
        <w:rPr>
          <w:b/>
          <w:bCs/>
        </w:rPr>
        <w:t>Centre for Ethnic Equity and National Inclusion</w:t>
      </w:r>
      <w:r w:rsidRPr="00F51134">
        <w:t xml:space="preserve">, herein referred to as </w:t>
      </w:r>
      <w:r w:rsidRPr="00F51134">
        <w:rPr>
          <w:b/>
          <w:bCs/>
        </w:rPr>
        <w:t>CEENI</w:t>
      </w:r>
      <w:r w:rsidRPr="00F51134">
        <w:t>.</w:t>
      </w:r>
    </w:p>
    <w:p w14:paraId="49CEDCE0" w14:textId="77777777" w:rsidR="00F51134" w:rsidRPr="00F51134" w:rsidRDefault="00F51134" w:rsidP="00F51134">
      <w:pPr>
        <w:numPr>
          <w:ilvl w:val="0"/>
          <w:numId w:val="5"/>
        </w:numPr>
      </w:pPr>
      <w:r w:rsidRPr="00F51134">
        <w:t>CEENI shall be a body corporate with perpetual succession and a common seal, and shall in its corporate name be capable of—</w:t>
      </w:r>
    </w:p>
    <w:p w14:paraId="1FFC4E26" w14:textId="39D018D3" w:rsidR="00F51134" w:rsidRPr="00F51134" w:rsidRDefault="00F51134" w:rsidP="000E348E">
      <w:pPr>
        <w:pStyle w:val="ListParagraph"/>
        <w:numPr>
          <w:ilvl w:val="0"/>
          <w:numId w:val="17"/>
        </w:numPr>
      </w:pPr>
      <w:r w:rsidRPr="00F51134">
        <w:t xml:space="preserve">suing and being </w:t>
      </w:r>
      <w:proofErr w:type="gramStart"/>
      <w:r w:rsidRPr="00F51134">
        <w:t>sued;</w:t>
      </w:r>
      <w:proofErr w:type="gramEnd"/>
    </w:p>
    <w:p w14:paraId="2D4EDA4D" w14:textId="33E0CF2A" w:rsidR="00F51134" w:rsidRPr="00F51134" w:rsidRDefault="00F51134" w:rsidP="000E348E">
      <w:pPr>
        <w:pStyle w:val="ListParagraph"/>
        <w:numPr>
          <w:ilvl w:val="0"/>
          <w:numId w:val="17"/>
        </w:numPr>
      </w:pPr>
      <w:r w:rsidRPr="00F51134">
        <w:t xml:space="preserve">taking, purchasing, or otherwise acquiring, holding, charging or disposing of movable and immovable </w:t>
      </w:r>
      <w:proofErr w:type="gramStart"/>
      <w:r w:rsidRPr="00F51134">
        <w:t>property;</w:t>
      </w:r>
      <w:proofErr w:type="gramEnd"/>
    </w:p>
    <w:p w14:paraId="4519954A" w14:textId="5BCE3A10" w:rsidR="00F51134" w:rsidRPr="00F51134" w:rsidRDefault="00F51134" w:rsidP="000E348E">
      <w:pPr>
        <w:pStyle w:val="ListParagraph"/>
        <w:numPr>
          <w:ilvl w:val="0"/>
          <w:numId w:val="17"/>
        </w:numPr>
      </w:pPr>
      <w:r w:rsidRPr="00F51134">
        <w:t xml:space="preserve">borrowing or lending </w:t>
      </w:r>
      <w:proofErr w:type="gramStart"/>
      <w:r w:rsidRPr="00F51134">
        <w:t>money;</w:t>
      </w:r>
      <w:proofErr w:type="gramEnd"/>
    </w:p>
    <w:p w14:paraId="0180FF25" w14:textId="42F39F5F" w:rsidR="00F51134" w:rsidRPr="00F51134" w:rsidRDefault="00F51134" w:rsidP="000E348E">
      <w:pPr>
        <w:pStyle w:val="ListParagraph"/>
        <w:numPr>
          <w:ilvl w:val="0"/>
          <w:numId w:val="17"/>
        </w:numPr>
      </w:pPr>
      <w:proofErr w:type="gramStart"/>
      <w:r w:rsidRPr="00F51134">
        <w:t>entering into</w:t>
      </w:r>
      <w:proofErr w:type="gramEnd"/>
      <w:r w:rsidRPr="00F51134">
        <w:t xml:space="preserve"> contracts; and</w:t>
      </w:r>
    </w:p>
    <w:p w14:paraId="4CC8D7F4" w14:textId="4D635779" w:rsidR="00F51134" w:rsidRPr="00F51134" w:rsidRDefault="00F51134" w:rsidP="000E348E">
      <w:pPr>
        <w:pStyle w:val="ListParagraph"/>
        <w:numPr>
          <w:ilvl w:val="0"/>
          <w:numId w:val="17"/>
        </w:numPr>
      </w:pPr>
      <w:r w:rsidRPr="00F51134">
        <w:t>doing or performing all such other acts as may be necessary for the proper performance of its functions under this Act.</w:t>
      </w:r>
    </w:p>
    <w:p w14:paraId="5011773E" w14:textId="77777777" w:rsidR="00F51134" w:rsidRPr="00F51134" w:rsidRDefault="00F51134" w:rsidP="00F51134">
      <w:pPr>
        <w:numPr>
          <w:ilvl w:val="0"/>
          <w:numId w:val="5"/>
        </w:numPr>
      </w:pPr>
      <w:r w:rsidRPr="00F51134">
        <w:t>CEENI shall be independent and shall not be subject to the direction or control of any person or authority, except as expressly provided under this Act or the Constitution.</w:t>
      </w:r>
    </w:p>
    <w:p w14:paraId="49187564" w14:textId="77777777" w:rsidR="00F51134" w:rsidRPr="00F51134" w:rsidRDefault="00F51134" w:rsidP="00F51134">
      <w:pPr>
        <w:numPr>
          <w:ilvl w:val="0"/>
          <w:numId w:val="5"/>
        </w:numPr>
      </w:pPr>
      <w:r w:rsidRPr="00F51134">
        <w:t>The headquarters of CEENI shall be in Nairobi, but the Centre may establish regional offices in such other parts of Kenya as the Board may determine.</w:t>
      </w:r>
    </w:p>
    <w:p w14:paraId="5178DC6D" w14:textId="6EBB466C" w:rsidR="00F51134" w:rsidRDefault="00F51134">
      <w:r>
        <w:br w:type="page"/>
      </w:r>
    </w:p>
    <w:p w14:paraId="2B8E18F4" w14:textId="77777777" w:rsidR="000E348E" w:rsidRPr="000E348E" w:rsidRDefault="000E348E" w:rsidP="00F64CB3">
      <w:pPr>
        <w:pStyle w:val="Heading2"/>
      </w:pPr>
      <w:bookmarkStart w:id="4" w:name="_Toc202632744"/>
      <w:r w:rsidRPr="000E348E">
        <w:lastRenderedPageBreak/>
        <w:t>5. Functions and Powers of CEENI</w:t>
      </w:r>
      <w:bookmarkEnd w:id="4"/>
    </w:p>
    <w:p w14:paraId="056020AF" w14:textId="10E65F86" w:rsidR="000E348E" w:rsidRPr="000E348E" w:rsidRDefault="000E348E" w:rsidP="000E348E">
      <w:pPr>
        <w:numPr>
          <w:ilvl w:val="0"/>
          <w:numId w:val="7"/>
        </w:numPr>
      </w:pPr>
      <w:r w:rsidRPr="000E348E">
        <w:t xml:space="preserve">The functions of the Centre </w:t>
      </w:r>
      <w:proofErr w:type="gramStart"/>
      <w:r w:rsidRPr="000E348E">
        <w:t>shall</w:t>
      </w:r>
      <w:proofErr w:type="gramEnd"/>
      <w:r w:rsidRPr="000E348E">
        <w:t xml:space="preserve"> be to</w:t>
      </w:r>
      <w:r>
        <w:t>:</w:t>
      </w:r>
    </w:p>
    <w:p w14:paraId="53D29D75" w14:textId="610C653A" w:rsidR="000E348E" w:rsidRPr="000E348E" w:rsidRDefault="000E348E" w:rsidP="000E348E">
      <w:pPr>
        <w:pStyle w:val="ListParagraph"/>
        <w:numPr>
          <w:ilvl w:val="0"/>
          <w:numId w:val="9"/>
        </w:numPr>
      </w:pPr>
      <w:r w:rsidRPr="000E348E">
        <w:t xml:space="preserve">audit and monitor ethnic representation in all public institutions at both national and county </w:t>
      </w:r>
      <w:proofErr w:type="gramStart"/>
      <w:r w:rsidRPr="000E348E">
        <w:t>levels;</w:t>
      </w:r>
      <w:proofErr w:type="gramEnd"/>
    </w:p>
    <w:p w14:paraId="51EF8112" w14:textId="60B5A4A3" w:rsidR="000E348E" w:rsidRPr="000E348E" w:rsidRDefault="000E348E" w:rsidP="000E348E">
      <w:pPr>
        <w:pStyle w:val="ListParagraph"/>
        <w:numPr>
          <w:ilvl w:val="0"/>
          <w:numId w:val="9"/>
        </w:numPr>
      </w:pPr>
      <w:r w:rsidRPr="000E348E">
        <w:t xml:space="preserve">publish annual </w:t>
      </w:r>
      <w:r w:rsidRPr="000E348E">
        <w:rPr>
          <w:b/>
          <w:bCs/>
        </w:rPr>
        <w:t>Ethnic Equity Scorecards</w:t>
      </w:r>
      <w:r w:rsidRPr="000E348E">
        <w:t xml:space="preserve">, benchmarking each public body against its population-based ethnic representation </w:t>
      </w:r>
      <w:proofErr w:type="gramStart"/>
      <w:r w:rsidRPr="000E348E">
        <w:t>obligations;</w:t>
      </w:r>
      <w:proofErr w:type="gramEnd"/>
    </w:p>
    <w:p w14:paraId="6C377B22" w14:textId="3CDB196A" w:rsidR="000E348E" w:rsidRPr="000E348E" w:rsidRDefault="000E348E" w:rsidP="000E348E">
      <w:pPr>
        <w:pStyle w:val="ListParagraph"/>
        <w:numPr>
          <w:ilvl w:val="0"/>
          <w:numId w:val="9"/>
        </w:numPr>
      </w:pPr>
      <w:r w:rsidRPr="000E348E">
        <w:t xml:space="preserve">investigate complaints, whistleblower reports, or self-reported data on ethnic imbalance, favoritism, exclusion, or patronage in public </w:t>
      </w:r>
      <w:proofErr w:type="gramStart"/>
      <w:r w:rsidRPr="000E348E">
        <w:t>service;</w:t>
      </w:r>
      <w:proofErr w:type="gramEnd"/>
    </w:p>
    <w:p w14:paraId="277BC143" w14:textId="56863133" w:rsidR="000E348E" w:rsidRPr="000E348E" w:rsidRDefault="000E348E" w:rsidP="000E348E">
      <w:pPr>
        <w:pStyle w:val="ListParagraph"/>
        <w:numPr>
          <w:ilvl w:val="0"/>
          <w:numId w:val="9"/>
        </w:numPr>
      </w:pPr>
      <w:r w:rsidRPr="000E348E">
        <w:t xml:space="preserve">regulate political campaign conduct by monitoring, documenting, and reporting on the use of tribal incitement, coded hate speech, and ethnic mobilization during electoral </w:t>
      </w:r>
      <w:proofErr w:type="gramStart"/>
      <w:r w:rsidRPr="000E348E">
        <w:t>periods;</w:t>
      </w:r>
      <w:proofErr w:type="gramEnd"/>
    </w:p>
    <w:p w14:paraId="51B1EF32" w14:textId="062AB442" w:rsidR="000E348E" w:rsidRPr="000E348E" w:rsidRDefault="000E348E" w:rsidP="000E348E">
      <w:pPr>
        <w:pStyle w:val="ListParagraph"/>
        <w:numPr>
          <w:ilvl w:val="0"/>
          <w:numId w:val="9"/>
        </w:numPr>
      </w:pPr>
      <w:r w:rsidRPr="000E348E">
        <w:t xml:space="preserve">collaborate with the NCIC, IEBC, Registrar of Political Parties, and relevant media regulatory bodies to enforce issue-based campaigning, especially during general elections and </w:t>
      </w:r>
      <w:proofErr w:type="gramStart"/>
      <w:r w:rsidRPr="000E348E">
        <w:t>by-elections;</w:t>
      </w:r>
      <w:proofErr w:type="gramEnd"/>
    </w:p>
    <w:p w14:paraId="3232326C" w14:textId="3BE0F6BE" w:rsidR="000E348E" w:rsidRPr="000E348E" w:rsidRDefault="000E348E" w:rsidP="000E348E">
      <w:pPr>
        <w:pStyle w:val="ListParagraph"/>
        <w:numPr>
          <w:ilvl w:val="0"/>
          <w:numId w:val="9"/>
        </w:numPr>
      </w:pPr>
      <w:r w:rsidRPr="000E348E">
        <w:t xml:space="preserve">develop and deploy a </w:t>
      </w:r>
      <w:r w:rsidRPr="000E348E">
        <w:rPr>
          <w:b/>
          <w:bCs/>
        </w:rPr>
        <w:t>Kenya Public Ethnic Inclusion Dashboard (KPEID)</w:t>
      </w:r>
      <w:r w:rsidRPr="000E348E">
        <w:t xml:space="preserve"> to track in real time the ethnic composition of leadership and staffing in public </w:t>
      </w:r>
      <w:proofErr w:type="gramStart"/>
      <w:r w:rsidRPr="000E348E">
        <w:t>institutions;</w:t>
      </w:r>
      <w:proofErr w:type="gramEnd"/>
    </w:p>
    <w:p w14:paraId="4AC52A3B" w14:textId="6FB2A84C" w:rsidR="000E348E" w:rsidRPr="000E348E" w:rsidRDefault="000E348E" w:rsidP="000E348E">
      <w:pPr>
        <w:pStyle w:val="ListParagraph"/>
        <w:numPr>
          <w:ilvl w:val="0"/>
          <w:numId w:val="9"/>
        </w:numPr>
      </w:pPr>
      <w:r w:rsidRPr="000E348E">
        <w:t xml:space="preserve">collect, analyze, and summarize public feedback on ethnic equity policy through digital platforms, mobile polling, and civic engagement tools, including the use of </w:t>
      </w:r>
      <w:r w:rsidRPr="000E348E">
        <w:rPr>
          <w:b/>
          <w:bCs/>
        </w:rPr>
        <w:t>natural language processing (NLP)</w:t>
      </w:r>
      <w:r w:rsidRPr="000E348E">
        <w:t xml:space="preserve"> to identify common </w:t>
      </w:r>
      <w:proofErr w:type="gramStart"/>
      <w:r w:rsidRPr="000E348E">
        <w:t>themes;</w:t>
      </w:r>
      <w:proofErr w:type="gramEnd"/>
    </w:p>
    <w:p w14:paraId="08F200D7" w14:textId="3A983D97" w:rsidR="000E348E" w:rsidRPr="000E348E" w:rsidRDefault="000E348E" w:rsidP="000E348E">
      <w:pPr>
        <w:pStyle w:val="ListParagraph"/>
        <w:numPr>
          <w:ilvl w:val="0"/>
          <w:numId w:val="9"/>
        </w:numPr>
      </w:pPr>
      <w:r w:rsidRPr="000E348E">
        <w:t xml:space="preserve">provide civic education to the public on ethnic equity, peaceful coexistence, and the role of data in just </w:t>
      </w:r>
      <w:proofErr w:type="gramStart"/>
      <w:r w:rsidRPr="000E348E">
        <w:t>governance;</w:t>
      </w:r>
      <w:proofErr w:type="gramEnd"/>
    </w:p>
    <w:p w14:paraId="4716DEB2" w14:textId="44003F84" w:rsidR="000E348E" w:rsidRPr="000E348E" w:rsidRDefault="000E348E" w:rsidP="000E348E">
      <w:pPr>
        <w:pStyle w:val="ListParagraph"/>
        <w:numPr>
          <w:ilvl w:val="0"/>
          <w:numId w:val="9"/>
        </w:numPr>
      </w:pPr>
      <w:r w:rsidRPr="000E348E">
        <w:t xml:space="preserve">offer guidance to Parliament, County Assemblies, and other stakeholders on the reform of laws and regulations related to representation, cohesion, and </w:t>
      </w:r>
      <w:proofErr w:type="gramStart"/>
      <w:r w:rsidRPr="000E348E">
        <w:t>fairness;</w:t>
      </w:r>
      <w:proofErr w:type="gramEnd"/>
    </w:p>
    <w:p w14:paraId="536A1B0B" w14:textId="4A082225" w:rsidR="000E348E" w:rsidRPr="000E348E" w:rsidRDefault="000E348E" w:rsidP="000E348E">
      <w:pPr>
        <w:pStyle w:val="ListParagraph"/>
        <w:numPr>
          <w:ilvl w:val="0"/>
          <w:numId w:val="9"/>
        </w:numPr>
      </w:pPr>
      <w:r w:rsidRPr="000E348E">
        <w:t xml:space="preserve">design and publish a </w:t>
      </w:r>
      <w:r w:rsidRPr="000E348E">
        <w:rPr>
          <w:b/>
          <w:bCs/>
        </w:rPr>
        <w:t>Campaign Discourse Integrity Index</w:t>
      </w:r>
      <w:r w:rsidRPr="000E348E">
        <w:t>, measuring political rhetoric by political party or candidate during each election cycle, with rankings published before elections.</w:t>
      </w:r>
    </w:p>
    <w:p w14:paraId="289C60AB" w14:textId="109D4D74" w:rsidR="000E348E" w:rsidRPr="000E348E" w:rsidRDefault="000E348E" w:rsidP="000E348E">
      <w:pPr>
        <w:numPr>
          <w:ilvl w:val="0"/>
          <w:numId w:val="7"/>
        </w:numPr>
      </w:pPr>
      <w:r w:rsidRPr="000E348E">
        <w:t>In carrying out its functions under this Act, the Centre shall have the power to</w:t>
      </w:r>
      <w:r>
        <w:t>:</w:t>
      </w:r>
    </w:p>
    <w:p w14:paraId="12355AA3" w14:textId="1D71D5EC" w:rsidR="000E348E" w:rsidRPr="000E348E" w:rsidRDefault="000E348E" w:rsidP="000E348E">
      <w:pPr>
        <w:pStyle w:val="ListParagraph"/>
        <w:numPr>
          <w:ilvl w:val="0"/>
          <w:numId w:val="11"/>
        </w:numPr>
      </w:pPr>
      <w:r w:rsidRPr="000E348E">
        <w:t xml:space="preserve">summon any person or institution to provide documents, explanations, or testimony in relation to ethnic representation </w:t>
      </w:r>
      <w:proofErr w:type="gramStart"/>
      <w:r w:rsidRPr="000E348E">
        <w:t>matters;</w:t>
      </w:r>
      <w:proofErr w:type="gramEnd"/>
    </w:p>
    <w:p w14:paraId="23E2E2E1" w14:textId="1E790788" w:rsidR="000E348E" w:rsidRPr="000E348E" w:rsidRDefault="000E348E" w:rsidP="000E348E">
      <w:pPr>
        <w:pStyle w:val="ListParagraph"/>
        <w:numPr>
          <w:ilvl w:val="0"/>
          <w:numId w:val="11"/>
        </w:numPr>
      </w:pPr>
      <w:r w:rsidRPr="000E348E">
        <w:t xml:space="preserve">recommend the suspension or nullification of public appointments or recruitments that contravene the principles of this </w:t>
      </w:r>
      <w:proofErr w:type="gramStart"/>
      <w:r w:rsidRPr="000E348E">
        <w:t>Act;</w:t>
      </w:r>
      <w:proofErr w:type="gramEnd"/>
    </w:p>
    <w:p w14:paraId="5226860A" w14:textId="336E40BC" w:rsidR="000E348E" w:rsidRPr="000E348E" w:rsidRDefault="000E348E" w:rsidP="000E348E">
      <w:pPr>
        <w:pStyle w:val="ListParagraph"/>
        <w:numPr>
          <w:ilvl w:val="0"/>
          <w:numId w:val="11"/>
        </w:numPr>
      </w:pPr>
      <w:r w:rsidRPr="000E348E">
        <w:t xml:space="preserve">issue administrative sanctions, fines, or public warnings against institutions or leaders found in breach of equity thresholds or ethnic incitement </w:t>
      </w:r>
      <w:proofErr w:type="gramStart"/>
      <w:r w:rsidRPr="000E348E">
        <w:t>regulations;</w:t>
      </w:r>
      <w:proofErr w:type="gramEnd"/>
    </w:p>
    <w:p w14:paraId="2AF0FF3B" w14:textId="60585F53" w:rsidR="000E348E" w:rsidRPr="000E348E" w:rsidRDefault="000E348E" w:rsidP="000E348E">
      <w:pPr>
        <w:pStyle w:val="ListParagraph"/>
        <w:numPr>
          <w:ilvl w:val="0"/>
          <w:numId w:val="11"/>
        </w:numPr>
      </w:pPr>
      <w:r w:rsidRPr="000E348E">
        <w:t xml:space="preserve">publish official compliance notices and national alerts where ethnic dominance in public service or tribal campaign rhetoric poses a threat to </w:t>
      </w:r>
      <w:proofErr w:type="gramStart"/>
      <w:r w:rsidRPr="000E348E">
        <w:t>cohesion;</w:t>
      </w:r>
      <w:proofErr w:type="gramEnd"/>
    </w:p>
    <w:p w14:paraId="7A7C4CDA" w14:textId="7FFA9B2F" w:rsidR="000E348E" w:rsidRDefault="000E348E" w:rsidP="000E348E">
      <w:pPr>
        <w:pStyle w:val="ListParagraph"/>
        <w:numPr>
          <w:ilvl w:val="0"/>
          <w:numId w:val="11"/>
        </w:numPr>
      </w:pPr>
      <w:r w:rsidRPr="000E348E">
        <w:t>create binding codes of conduct, regulations, and policy guidelines to give effect to this Act, subject to public participation.</w:t>
      </w:r>
    </w:p>
    <w:p w14:paraId="0C45982D" w14:textId="5C522D6A" w:rsidR="000E348E" w:rsidRDefault="000E348E">
      <w:r>
        <w:br w:type="page"/>
      </w:r>
    </w:p>
    <w:p w14:paraId="1E8E261B" w14:textId="77777777" w:rsidR="000E348E" w:rsidRPr="000E348E" w:rsidRDefault="000E348E" w:rsidP="00F64CB3">
      <w:pPr>
        <w:pStyle w:val="Heading2"/>
      </w:pPr>
      <w:bookmarkStart w:id="5" w:name="_Toc202632745"/>
      <w:r w:rsidRPr="000E348E">
        <w:lastRenderedPageBreak/>
        <w:t>6. Ethnic Equity Representation Formula and Compliance Standards</w:t>
      </w:r>
      <w:bookmarkEnd w:id="5"/>
    </w:p>
    <w:p w14:paraId="4E589E84" w14:textId="77777777" w:rsidR="000E348E" w:rsidRPr="000E348E" w:rsidRDefault="000E348E" w:rsidP="000E348E">
      <w:pPr>
        <w:numPr>
          <w:ilvl w:val="0"/>
          <w:numId w:val="12"/>
        </w:numPr>
      </w:pPr>
      <w:r w:rsidRPr="000E348E">
        <w:t xml:space="preserve">The ethnic composition of public institutions shall reflect the national population distribution as determined by the most recent official census published by the </w:t>
      </w:r>
      <w:r w:rsidRPr="000E348E">
        <w:rPr>
          <w:b/>
          <w:bCs/>
        </w:rPr>
        <w:t>Kenya National Bureau of Statistics (KNBS)</w:t>
      </w:r>
      <w:r w:rsidRPr="000E348E">
        <w:t>.</w:t>
      </w:r>
    </w:p>
    <w:p w14:paraId="38C61D72" w14:textId="77777777" w:rsidR="000E348E" w:rsidRPr="000E348E" w:rsidRDefault="000E348E" w:rsidP="000E348E">
      <w:pPr>
        <w:numPr>
          <w:ilvl w:val="0"/>
          <w:numId w:val="12"/>
        </w:numPr>
      </w:pPr>
      <w:r w:rsidRPr="000E348E">
        <w:t xml:space="preserve">No single ethnic group shall occupy more than its </w:t>
      </w:r>
      <w:r w:rsidRPr="000E348E">
        <w:rPr>
          <w:b/>
          <w:bCs/>
        </w:rPr>
        <w:t>census-based national population share</w:t>
      </w:r>
      <w:r w:rsidRPr="000E348E">
        <w:t xml:space="preserve"> plus a </w:t>
      </w:r>
      <w:r w:rsidRPr="000E348E">
        <w:rPr>
          <w:b/>
          <w:bCs/>
        </w:rPr>
        <w:t>buffer of five percentage points</w:t>
      </w:r>
      <w:r w:rsidRPr="000E348E">
        <w:t xml:space="preserve">, provided that the total shall not exceed </w:t>
      </w:r>
      <w:r w:rsidRPr="000E348E">
        <w:rPr>
          <w:b/>
          <w:bCs/>
        </w:rPr>
        <w:t>twenty percent (20%)</w:t>
      </w:r>
      <w:r w:rsidRPr="000E348E">
        <w:t xml:space="preserve"> of appointments in any single public body, tier, or leadership structure.</w:t>
      </w:r>
    </w:p>
    <w:p w14:paraId="2364830B" w14:textId="77777777" w:rsidR="000E348E" w:rsidRPr="000E348E" w:rsidRDefault="000E348E" w:rsidP="000E348E">
      <w:pPr>
        <w:numPr>
          <w:ilvl w:val="0"/>
          <w:numId w:val="12"/>
        </w:numPr>
      </w:pPr>
      <w:r w:rsidRPr="000E348E">
        <w:t xml:space="preserve">For </w:t>
      </w:r>
      <w:proofErr w:type="gramStart"/>
      <w:r w:rsidRPr="000E348E">
        <w:t>purposes</w:t>
      </w:r>
      <w:proofErr w:type="gramEnd"/>
      <w:r w:rsidRPr="000E348E">
        <w:t xml:space="preserve"> of this section, the </w:t>
      </w:r>
      <w:r w:rsidRPr="000E348E">
        <w:rPr>
          <w:b/>
          <w:bCs/>
        </w:rPr>
        <w:t>Maximum Equity Threshold (MET)</w:t>
      </w:r>
      <w:r w:rsidRPr="000E348E">
        <w:t xml:space="preserve"> for each ethnic group shall be determined as follows:</w:t>
      </w:r>
    </w:p>
    <w:p w14:paraId="620414A9" w14:textId="77777777" w:rsidR="000E348E" w:rsidRPr="000E348E" w:rsidRDefault="000E348E" w:rsidP="000E348E">
      <w:r w:rsidRPr="000E348E">
        <w:t xml:space="preserve">MET = </w:t>
      </w:r>
      <w:proofErr w:type="gramStart"/>
      <w:r w:rsidRPr="000E348E">
        <w:t>min(</w:t>
      </w:r>
      <w:proofErr w:type="spellStart"/>
      <w:proofErr w:type="gramEnd"/>
      <w:r w:rsidRPr="000E348E">
        <w:t>P_ethnic</w:t>
      </w:r>
      <w:proofErr w:type="spellEnd"/>
      <w:r w:rsidRPr="000E348E">
        <w:t xml:space="preserve"> + 5%, 20%)</w:t>
      </w:r>
    </w:p>
    <w:p w14:paraId="5199852A" w14:textId="77777777" w:rsidR="000E348E" w:rsidRPr="000E348E" w:rsidRDefault="000E348E" w:rsidP="000E348E">
      <w:r w:rsidRPr="000E348E">
        <w:t>Where:</w:t>
      </w:r>
    </w:p>
    <w:p w14:paraId="09967A12" w14:textId="77777777" w:rsidR="000E348E" w:rsidRPr="000E348E" w:rsidRDefault="000E348E" w:rsidP="000E348E">
      <w:pPr>
        <w:numPr>
          <w:ilvl w:val="0"/>
          <w:numId w:val="13"/>
        </w:numPr>
      </w:pPr>
      <w:proofErr w:type="spellStart"/>
      <w:r w:rsidRPr="000E348E">
        <w:t>P_ethnic</w:t>
      </w:r>
      <w:proofErr w:type="spellEnd"/>
      <w:r w:rsidRPr="000E348E">
        <w:t xml:space="preserve"> is the national population percentage of the ethnic group as per the latest </w:t>
      </w:r>
      <w:proofErr w:type="gramStart"/>
      <w:r w:rsidRPr="000E348E">
        <w:t>census;</w:t>
      </w:r>
      <w:proofErr w:type="gramEnd"/>
    </w:p>
    <w:p w14:paraId="6CD5C7E6" w14:textId="77777777" w:rsidR="000E348E" w:rsidRPr="000E348E" w:rsidRDefault="000E348E" w:rsidP="000E348E">
      <w:pPr>
        <w:numPr>
          <w:ilvl w:val="0"/>
          <w:numId w:val="13"/>
        </w:numPr>
      </w:pPr>
      <w:r w:rsidRPr="000E348E">
        <w:t xml:space="preserve">+5% accounts for natural merit-based </w:t>
      </w:r>
      <w:proofErr w:type="gramStart"/>
      <w:r w:rsidRPr="000E348E">
        <w:t>variations;</w:t>
      </w:r>
      <w:proofErr w:type="gramEnd"/>
    </w:p>
    <w:p w14:paraId="6062A7B5" w14:textId="77777777" w:rsidR="000E348E" w:rsidRPr="000E348E" w:rsidRDefault="000E348E" w:rsidP="000E348E">
      <w:pPr>
        <w:numPr>
          <w:ilvl w:val="0"/>
          <w:numId w:val="13"/>
        </w:numPr>
      </w:pPr>
      <w:r w:rsidRPr="000E348E">
        <w:t>20% is the legal upper cap regardless of population size.</w:t>
      </w:r>
    </w:p>
    <w:p w14:paraId="43C8ACFC" w14:textId="77777777" w:rsidR="000E348E" w:rsidRPr="000E348E" w:rsidRDefault="000E348E" w:rsidP="000E348E">
      <w:pPr>
        <w:numPr>
          <w:ilvl w:val="0"/>
          <w:numId w:val="14"/>
        </w:numPr>
      </w:pPr>
      <w:r w:rsidRPr="000E348E">
        <w:t xml:space="preserve">A breach of the MET shall constitute </w:t>
      </w:r>
      <w:r w:rsidRPr="000E348E">
        <w:rPr>
          <w:b/>
          <w:bCs/>
        </w:rPr>
        <w:t>overrepresentation</w:t>
      </w:r>
      <w:r w:rsidRPr="000E348E">
        <w:t xml:space="preserve"> and may trigger:</w:t>
      </w:r>
    </w:p>
    <w:p w14:paraId="04A11E69" w14:textId="7ECE2BCE" w:rsidR="000E348E" w:rsidRPr="000E348E" w:rsidRDefault="000E348E" w:rsidP="000E348E">
      <w:pPr>
        <w:pStyle w:val="ListParagraph"/>
        <w:numPr>
          <w:ilvl w:val="0"/>
          <w:numId w:val="15"/>
        </w:numPr>
      </w:pPr>
      <w:r w:rsidRPr="000E348E">
        <w:t xml:space="preserve">temporary suspension of new appointments from the overrepresented </w:t>
      </w:r>
      <w:proofErr w:type="gramStart"/>
      <w:r w:rsidRPr="000E348E">
        <w:t>group;</w:t>
      </w:r>
      <w:proofErr w:type="gramEnd"/>
    </w:p>
    <w:p w14:paraId="341853F9" w14:textId="43C63D3D" w:rsidR="000E348E" w:rsidRPr="000E348E" w:rsidRDefault="000E348E" w:rsidP="000E348E">
      <w:pPr>
        <w:pStyle w:val="ListParagraph"/>
        <w:numPr>
          <w:ilvl w:val="0"/>
          <w:numId w:val="15"/>
        </w:numPr>
      </w:pPr>
      <w:r w:rsidRPr="000E348E">
        <w:t xml:space="preserve">mandatory inclusion of underrepresented groups in the next appointment or promotion </w:t>
      </w:r>
      <w:proofErr w:type="gramStart"/>
      <w:r w:rsidRPr="000E348E">
        <w:t>cycle;</w:t>
      </w:r>
      <w:proofErr w:type="gramEnd"/>
    </w:p>
    <w:p w14:paraId="245A4948" w14:textId="263EC9E5" w:rsidR="000E348E" w:rsidRPr="000E348E" w:rsidRDefault="000E348E" w:rsidP="000E348E">
      <w:pPr>
        <w:pStyle w:val="ListParagraph"/>
        <w:numPr>
          <w:ilvl w:val="0"/>
          <w:numId w:val="15"/>
        </w:numPr>
      </w:pPr>
      <w:r w:rsidRPr="000E348E">
        <w:t xml:space="preserve">public notice and warning issued by CEENI to the responsible </w:t>
      </w:r>
      <w:proofErr w:type="gramStart"/>
      <w:r w:rsidRPr="000E348E">
        <w:t>institution;</w:t>
      </w:r>
      <w:proofErr w:type="gramEnd"/>
    </w:p>
    <w:p w14:paraId="36BA101F" w14:textId="016FF893" w:rsidR="000E348E" w:rsidRPr="000E348E" w:rsidRDefault="000E348E" w:rsidP="000E348E">
      <w:pPr>
        <w:pStyle w:val="ListParagraph"/>
        <w:numPr>
          <w:ilvl w:val="0"/>
          <w:numId w:val="15"/>
        </w:numPr>
      </w:pPr>
      <w:r w:rsidRPr="000E348E">
        <w:t xml:space="preserve">financial sanctions </w:t>
      </w:r>
      <w:proofErr w:type="gramStart"/>
      <w:r w:rsidRPr="000E348E">
        <w:t>tied</w:t>
      </w:r>
      <w:proofErr w:type="gramEnd"/>
      <w:r w:rsidRPr="000E348E">
        <w:t xml:space="preserve"> to budget disbursements for non-compliant institutions.</w:t>
      </w:r>
    </w:p>
    <w:p w14:paraId="1B093B3F" w14:textId="77777777" w:rsidR="000E348E" w:rsidRPr="000E348E" w:rsidRDefault="000E348E" w:rsidP="000E348E">
      <w:pPr>
        <w:numPr>
          <w:ilvl w:val="0"/>
          <w:numId w:val="14"/>
        </w:numPr>
      </w:pPr>
      <w:r w:rsidRPr="000E348E">
        <w:t>All public bodies shall submit annual staffing and leadership reports to CEENI for verification and compliance scoring. Failure to comply shall attract sanctions.</w:t>
      </w:r>
    </w:p>
    <w:p w14:paraId="4C32AC63" w14:textId="77777777" w:rsidR="000E348E" w:rsidRPr="000E348E" w:rsidRDefault="000E348E" w:rsidP="000E348E">
      <w:pPr>
        <w:numPr>
          <w:ilvl w:val="0"/>
          <w:numId w:val="14"/>
        </w:numPr>
      </w:pPr>
      <w:r w:rsidRPr="000E348E">
        <w:t>The Public Service Commission, the Salaries and Remuneration Commission, and all appointing authorities shall align their recruitment processes and shortlisting practices with this formula.</w:t>
      </w:r>
    </w:p>
    <w:p w14:paraId="57A51160" w14:textId="71EA6372" w:rsidR="000E348E" w:rsidRDefault="000E348E">
      <w:r>
        <w:br w:type="page"/>
      </w:r>
    </w:p>
    <w:p w14:paraId="4D14AD9F" w14:textId="77777777" w:rsidR="001262CA" w:rsidRPr="001262CA" w:rsidRDefault="001262CA" w:rsidP="00F64CB3">
      <w:pPr>
        <w:pStyle w:val="Heading2"/>
      </w:pPr>
      <w:bookmarkStart w:id="6" w:name="_Toc202632746"/>
      <w:r w:rsidRPr="001262CA">
        <w:lastRenderedPageBreak/>
        <w:t>7. Enforcement Mechanisms and Legal Sanctions</w:t>
      </w:r>
      <w:bookmarkEnd w:id="6"/>
    </w:p>
    <w:p w14:paraId="2D559211" w14:textId="77777777" w:rsidR="001262CA" w:rsidRPr="001262CA" w:rsidRDefault="001262CA" w:rsidP="001262CA">
      <w:pPr>
        <w:numPr>
          <w:ilvl w:val="0"/>
          <w:numId w:val="19"/>
        </w:numPr>
      </w:pPr>
      <w:r w:rsidRPr="001262CA">
        <w:t>CEENI shall be the principal enforcement body for this Act, with the authority to initiate investigations, conduct audits, and issue administrative actions.</w:t>
      </w:r>
    </w:p>
    <w:p w14:paraId="46D15FD5" w14:textId="1508865B" w:rsidR="001262CA" w:rsidRPr="001262CA" w:rsidRDefault="001262CA" w:rsidP="001262CA">
      <w:pPr>
        <w:numPr>
          <w:ilvl w:val="0"/>
          <w:numId w:val="19"/>
        </w:numPr>
      </w:pPr>
      <w:r w:rsidRPr="001262CA">
        <w:t>A public institution or official found to have willfully</w:t>
      </w:r>
      <w:r>
        <w:t>:</w:t>
      </w:r>
    </w:p>
    <w:p w14:paraId="1307008C" w14:textId="77777777" w:rsidR="001262CA" w:rsidRDefault="001262CA" w:rsidP="001262CA">
      <w:pPr>
        <w:pStyle w:val="ListParagraph"/>
        <w:numPr>
          <w:ilvl w:val="1"/>
          <w:numId w:val="19"/>
        </w:numPr>
      </w:pPr>
      <w:r w:rsidRPr="001262CA">
        <w:t xml:space="preserve">concealed ethnic identity </w:t>
      </w:r>
      <w:proofErr w:type="gramStart"/>
      <w:r w:rsidRPr="001262CA">
        <w:t>data;</w:t>
      </w:r>
      <w:proofErr w:type="gramEnd"/>
    </w:p>
    <w:p w14:paraId="55043DD3" w14:textId="77777777" w:rsidR="001262CA" w:rsidRDefault="001262CA" w:rsidP="001262CA">
      <w:pPr>
        <w:pStyle w:val="ListParagraph"/>
        <w:numPr>
          <w:ilvl w:val="1"/>
          <w:numId w:val="19"/>
        </w:numPr>
      </w:pPr>
      <w:r w:rsidRPr="001262CA">
        <w:t xml:space="preserve">misrepresented ethnic composition in </w:t>
      </w:r>
      <w:proofErr w:type="gramStart"/>
      <w:r w:rsidRPr="001262CA">
        <w:t>reports;</w:t>
      </w:r>
      <w:proofErr w:type="gramEnd"/>
    </w:p>
    <w:p w14:paraId="6823097B" w14:textId="77777777" w:rsidR="001262CA" w:rsidRDefault="001262CA" w:rsidP="001262CA">
      <w:pPr>
        <w:pStyle w:val="ListParagraph"/>
        <w:numPr>
          <w:ilvl w:val="1"/>
          <w:numId w:val="19"/>
        </w:numPr>
      </w:pPr>
      <w:r w:rsidRPr="001262CA">
        <w:t>violated the Maximum Equity Threshold (MET) without corrective action; or</w:t>
      </w:r>
    </w:p>
    <w:p w14:paraId="2B8B1BA2" w14:textId="4E62F7D2" w:rsidR="001262CA" w:rsidRPr="001262CA" w:rsidRDefault="001262CA" w:rsidP="00721E44">
      <w:pPr>
        <w:pStyle w:val="ListParagraph"/>
        <w:numPr>
          <w:ilvl w:val="1"/>
          <w:numId w:val="19"/>
        </w:numPr>
      </w:pPr>
      <w:r w:rsidRPr="001262CA">
        <w:t>engaged in tribal favoritism or exclusion in public appointments</w:t>
      </w:r>
      <w:r>
        <w:t xml:space="preserve">: - </w:t>
      </w:r>
      <w:r w:rsidRPr="001262CA">
        <w:t>shall be deemed in breach of this Act.</w:t>
      </w:r>
    </w:p>
    <w:p w14:paraId="12AFDFE2" w14:textId="77777777" w:rsidR="001262CA" w:rsidRPr="001262CA" w:rsidRDefault="001262CA" w:rsidP="001262CA">
      <w:pPr>
        <w:numPr>
          <w:ilvl w:val="0"/>
          <w:numId w:val="19"/>
        </w:numPr>
      </w:pPr>
      <w:r w:rsidRPr="001262CA">
        <w:t>Sanctions that may be imposed by CEENI include:</w:t>
      </w:r>
    </w:p>
    <w:p w14:paraId="64056C05" w14:textId="74FF248C" w:rsidR="001262CA" w:rsidRDefault="001262CA" w:rsidP="001262CA">
      <w:pPr>
        <w:numPr>
          <w:ilvl w:val="1"/>
          <w:numId w:val="19"/>
        </w:numPr>
      </w:pPr>
      <w:r>
        <w:t xml:space="preserve">public reprimand or publication of a non-compliance </w:t>
      </w:r>
      <w:proofErr w:type="gramStart"/>
      <w:r>
        <w:t>notice;</w:t>
      </w:r>
      <w:proofErr w:type="gramEnd"/>
    </w:p>
    <w:p w14:paraId="3F0DEE3B" w14:textId="517A6295" w:rsidR="001262CA" w:rsidRDefault="001262CA" w:rsidP="001262CA">
      <w:pPr>
        <w:numPr>
          <w:ilvl w:val="1"/>
          <w:numId w:val="19"/>
        </w:numPr>
      </w:pPr>
      <w:r>
        <w:t xml:space="preserve">nullification of irregular </w:t>
      </w:r>
      <w:proofErr w:type="gramStart"/>
      <w:r>
        <w:t>appointments;</w:t>
      </w:r>
      <w:proofErr w:type="gramEnd"/>
    </w:p>
    <w:p w14:paraId="1479354A" w14:textId="03CF8BC7" w:rsidR="001262CA" w:rsidRDefault="001262CA" w:rsidP="001262CA">
      <w:pPr>
        <w:numPr>
          <w:ilvl w:val="1"/>
          <w:numId w:val="19"/>
        </w:numPr>
      </w:pPr>
      <w:r>
        <w:t xml:space="preserve">suspension of affected recruitment </w:t>
      </w:r>
      <w:proofErr w:type="gramStart"/>
      <w:r>
        <w:t>processes;</w:t>
      </w:r>
      <w:proofErr w:type="gramEnd"/>
    </w:p>
    <w:p w14:paraId="08FE01EC" w14:textId="0A80895D" w:rsidR="001262CA" w:rsidRDefault="001262CA" w:rsidP="001262CA">
      <w:pPr>
        <w:numPr>
          <w:ilvl w:val="1"/>
          <w:numId w:val="19"/>
        </w:numPr>
      </w:pPr>
      <w:r>
        <w:t xml:space="preserve">monetary penalties against the institution, not exceeding 2% of its annual operational </w:t>
      </w:r>
      <w:proofErr w:type="gramStart"/>
      <w:r>
        <w:t>budget;</w:t>
      </w:r>
      <w:proofErr w:type="gramEnd"/>
    </w:p>
    <w:p w14:paraId="0947DADA" w14:textId="747D8B80" w:rsidR="001262CA" w:rsidRDefault="001262CA" w:rsidP="001262CA">
      <w:pPr>
        <w:numPr>
          <w:ilvl w:val="1"/>
          <w:numId w:val="19"/>
        </w:numPr>
      </w:pPr>
      <w:r>
        <w:t>referral of individual actors for disciplinary or criminal proceedings under relevant public service, electoral, or criminal laws</w:t>
      </w:r>
    </w:p>
    <w:p w14:paraId="4BF324EB" w14:textId="72AA45E2" w:rsidR="001262CA" w:rsidRPr="001262CA" w:rsidRDefault="001262CA" w:rsidP="001262CA">
      <w:pPr>
        <w:numPr>
          <w:ilvl w:val="0"/>
          <w:numId w:val="19"/>
        </w:numPr>
      </w:pPr>
      <w:r w:rsidRPr="001262CA">
        <w:t xml:space="preserve">CEENI shall have power to issue </w:t>
      </w:r>
      <w:r w:rsidRPr="001262CA">
        <w:rPr>
          <w:b/>
          <w:bCs/>
        </w:rPr>
        <w:t>compliance orders</w:t>
      </w:r>
      <w:r w:rsidRPr="001262CA">
        <w:t xml:space="preserve"> directing institutions to take corrective action within a specified time frame. Failure to comply shall constitute grounds for escalation to the Attorney General or the High Court.</w:t>
      </w:r>
    </w:p>
    <w:p w14:paraId="49DC1746" w14:textId="77777777" w:rsidR="001262CA" w:rsidRPr="001262CA" w:rsidRDefault="001262CA" w:rsidP="001262CA">
      <w:pPr>
        <w:numPr>
          <w:ilvl w:val="0"/>
          <w:numId w:val="19"/>
        </w:numPr>
      </w:pPr>
      <w:r w:rsidRPr="001262CA">
        <w:t xml:space="preserve">The Auditor-General shall not approve </w:t>
      </w:r>
      <w:proofErr w:type="gramStart"/>
      <w:r w:rsidRPr="001262CA">
        <w:t>financial</w:t>
      </w:r>
      <w:proofErr w:type="gramEnd"/>
      <w:r w:rsidRPr="001262CA">
        <w:t xml:space="preserve"> statements of any public body that fails to submit an annual </w:t>
      </w:r>
      <w:r w:rsidRPr="001262CA">
        <w:rPr>
          <w:b/>
          <w:bCs/>
        </w:rPr>
        <w:t>Ethnic Equity Compliance Report</w:t>
      </w:r>
      <w:r w:rsidRPr="001262CA">
        <w:t xml:space="preserve"> certified by CEENI.</w:t>
      </w:r>
    </w:p>
    <w:p w14:paraId="1B75C0BC" w14:textId="77777777" w:rsidR="001262CA" w:rsidRPr="001262CA" w:rsidRDefault="001262CA" w:rsidP="001262CA">
      <w:pPr>
        <w:numPr>
          <w:ilvl w:val="0"/>
          <w:numId w:val="19"/>
        </w:numPr>
      </w:pPr>
      <w:r w:rsidRPr="001262CA">
        <w:t>Any person who obstructs CEENI, refuses to provide information, or knowingly provides false data commits an offence and shall, upon conviction, be liable to:</w:t>
      </w:r>
    </w:p>
    <w:p w14:paraId="7E606E32" w14:textId="77777777" w:rsidR="001262CA" w:rsidRDefault="001262CA" w:rsidP="001262CA">
      <w:pPr>
        <w:pStyle w:val="ListParagraph"/>
        <w:numPr>
          <w:ilvl w:val="0"/>
          <w:numId w:val="20"/>
        </w:numPr>
      </w:pPr>
      <w:r w:rsidRPr="001262CA">
        <w:t>fine not exceeding five hundred thousand shillings (KES 500,000); or</w:t>
      </w:r>
    </w:p>
    <w:p w14:paraId="78F0433E" w14:textId="77777777" w:rsidR="001262CA" w:rsidRDefault="001262CA" w:rsidP="001262CA">
      <w:pPr>
        <w:pStyle w:val="ListParagraph"/>
        <w:numPr>
          <w:ilvl w:val="0"/>
          <w:numId w:val="20"/>
        </w:numPr>
      </w:pPr>
      <w:r w:rsidRPr="001262CA">
        <w:t>imprisonment for a term not exceeding two years; or</w:t>
      </w:r>
    </w:p>
    <w:p w14:paraId="0F6F99C8" w14:textId="62E4A73A" w:rsidR="001262CA" w:rsidRDefault="001262CA" w:rsidP="001262CA">
      <w:pPr>
        <w:pStyle w:val="ListParagraph"/>
        <w:numPr>
          <w:ilvl w:val="0"/>
          <w:numId w:val="20"/>
        </w:numPr>
      </w:pPr>
      <w:r w:rsidRPr="001262CA">
        <w:t>both.</w:t>
      </w:r>
    </w:p>
    <w:p w14:paraId="3183891C" w14:textId="1C16D3A2" w:rsidR="001262CA" w:rsidRDefault="001262CA">
      <w:r>
        <w:br w:type="page"/>
      </w:r>
    </w:p>
    <w:p w14:paraId="36F8DD92" w14:textId="77777777" w:rsidR="002C559A" w:rsidRPr="002C559A" w:rsidRDefault="002C559A" w:rsidP="00F64CB3">
      <w:pPr>
        <w:pStyle w:val="Heading2"/>
      </w:pPr>
      <w:bookmarkStart w:id="7" w:name="_Toc202632747"/>
      <w:r w:rsidRPr="002C559A">
        <w:lastRenderedPageBreak/>
        <w:t>8. Public Participation and Civic Engagement</w:t>
      </w:r>
      <w:bookmarkEnd w:id="7"/>
    </w:p>
    <w:p w14:paraId="0458F618" w14:textId="77777777" w:rsidR="002C559A" w:rsidRPr="002C559A" w:rsidRDefault="002C559A" w:rsidP="002C559A">
      <w:pPr>
        <w:numPr>
          <w:ilvl w:val="0"/>
          <w:numId w:val="21"/>
        </w:numPr>
      </w:pPr>
      <w:r w:rsidRPr="002C559A">
        <w:t>CEENI shall establish mechanisms to facilitate inclusive, accessible, and continuous public participation in the implementation of this Act, including:</w:t>
      </w:r>
    </w:p>
    <w:p w14:paraId="4AA620D1" w14:textId="7C1BF43A" w:rsidR="002C559A" w:rsidRDefault="002C559A" w:rsidP="002C559A">
      <w:pPr>
        <w:pStyle w:val="ListParagraph"/>
        <w:numPr>
          <w:ilvl w:val="1"/>
          <w:numId w:val="19"/>
        </w:numPr>
      </w:pPr>
      <w:r w:rsidRPr="002C559A">
        <w:t xml:space="preserve">town halls, barazas, and focus group dialogues at national and county </w:t>
      </w:r>
      <w:proofErr w:type="gramStart"/>
      <w:r w:rsidRPr="002C559A">
        <w:t>levels;</w:t>
      </w:r>
      <w:proofErr w:type="gramEnd"/>
    </w:p>
    <w:p w14:paraId="39ED2C50" w14:textId="37CA530B" w:rsidR="002C559A" w:rsidRDefault="002C559A" w:rsidP="002C559A">
      <w:pPr>
        <w:pStyle w:val="ListParagraph"/>
        <w:numPr>
          <w:ilvl w:val="1"/>
          <w:numId w:val="19"/>
        </w:numPr>
      </w:pPr>
      <w:r w:rsidRPr="002C559A">
        <w:t xml:space="preserve">school and university forums to involve young people and student </w:t>
      </w:r>
      <w:proofErr w:type="gramStart"/>
      <w:r w:rsidRPr="002C559A">
        <w:t>bodies;</w:t>
      </w:r>
      <w:proofErr w:type="gramEnd"/>
    </w:p>
    <w:p w14:paraId="63E5B834" w14:textId="0490FD95" w:rsidR="002C559A" w:rsidRPr="002C559A" w:rsidRDefault="002C559A" w:rsidP="002C559A">
      <w:pPr>
        <w:pStyle w:val="ListParagraph"/>
        <w:numPr>
          <w:ilvl w:val="1"/>
          <w:numId w:val="19"/>
        </w:numPr>
      </w:pPr>
      <w:r w:rsidRPr="002C559A">
        <w:t>partnerships with civil society, religious organizations, and community elders.</w:t>
      </w:r>
    </w:p>
    <w:p w14:paraId="7ED899A6" w14:textId="77777777" w:rsidR="002C559A" w:rsidRPr="002C559A" w:rsidRDefault="002C559A" w:rsidP="002C559A">
      <w:pPr>
        <w:numPr>
          <w:ilvl w:val="0"/>
          <w:numId w:val="21"/>
        </w:numPr>
      </w:pPr>
      <w:r w:rsidRPr="002C559A">
        <w:t xml:space="preserve">CEENI shall maintain an open </w:t>
      </w:r>
      <w:r w:rsidRPr="002C559A">
        <w:rPr>
          <w:b/>
          <w:bCs/>
        </w:rPr>
        <w:t>Digital Participation Platform</w:t>
      </w:r>
      <w:r w:rsidRPr="002C559A">
        <w:t xml:space="preserve"> and </w:t>
      </w:r>
      <w:r w:rsidRPr="002C559A">
        <w:rPr>
          <w:b/>
          <w:bCs/>
        </w:rPr>
        <w:t>SMS Gateway</w:t>
      </w:r>
      <w:r w:rsidRPr="002C559A">
        <w:t xml:space="preserve"> where citizens may:</w:t>
      </w:r>
    </w:p>
    <w:p w14:paraId="72D63AEC" w14:textId="7DC1AE77" w:rsidR="002C559A" w:rsidRDefault="002C559A" w:rsidP="002C559A">
      <w:pPr>
        <w:pStyle w:val="ListParagraph"/>
        <w:numPr>
          <w:ilvl w:val="1"/>
          <w:numId w:val="28"/>
        </w:numPr>
      </w:pPr>
      <w:r w:rsidRPr="002C559A">
        <w:t xml:space="preserve">submit opinions, complaints, or feedback on ethnic representation in public </w:t>
      </w:r>
      <w:proofErr w:type="gramStart"/>
      <w:r w:rsidRPr="002C559A">
        <w:t>institutions;</w:t>
      </w:r>
      <w:proofErr w:type="gramEnd"/>
    </w:p>
    <w:p w14:paraId="3930CDB4" w14:textId="4C163B4A" w:rsidR="002C559A" w:rsidRDefault="002C559A" w:rsidP="002C559A">
      <w:pPr>
        <w:pStyle w:val="ListParagraph"/>
        <w:numPr>
          <w:ilvl w:val="1"/>
          <w:numId w:val="28"/>
        </w:numPr>
      </w:pPr>
      <w:r w:rsidRPr="002C559A">
        <w:t xml:space="preserve">vote or express views on national equity issues and implementation </w:t>
      </w:r>
      <w:proofErr w:type="gramStart"/>
      <w:r w:rsidRPr="002C559A">
        <w:t>progress;</w:t>
      </w:r>
      <w:proofErr w:type="gramEnd"/>
    </w:p>
    <w:p w14:paraId="568B71AF" w14:textId="259DFA33" w:rsidR="002C559A" w:rsidRPr="002C559A" w:rsidRDefault="002C559A" w:rsidP="002C559A">
      <w:pPr>
        <w:pStyle w:val="ListParagraph"/>
        <w:numPr>
          <w:ilvl w:val="1"/>
          <w:numId w:val="28"/>
        </w:numPr>
      </w:pPr>
      <w:r w:rsidRPr="002C559A">
        <w:t>report suspected violations of ethnic inclusion thresholds.</w:t>
      </w:r>
    </w:p>
    <w:p w14:paraId="3E95347F" w14:textId="77777777" w:rsidR="002C559A" w:rsidRPr="002C559A" w:rsidRDefault="002C559A" w:rsidP="002C559A">
      <w:pPr>
        <w:numPr>
          <w:ilvl w:val="0"/>
          <w:numId w:val="21"/>
        </w:numPr>
      </w:pPr>
      <w:r w:rsidRPr="002C559A">
        <w:t xml:space="preserve">CEENI shall employ </w:t>
      </w:r>
      <w:r w:rsidRPr="002C559A">
        <w:rPr>
          <w:b/>
          <w:bCs/>
        </w:rPr>
        <w:t>natural language processing (NLP)</w:t>
      </w:r>
      <w:r w:rsidRPr="002C559A">
        <w:t xml:space="preserve"> and AI tools to:</w:t>
      </w:r>
    </w:p>
    <w:p w14:paraId="7AE8BC17" w14:textId="54264381" w:rsidR="002C559A" w:rsidRDefault="002C559A" w:rsidP="002C559A">
      <w:pPr>
        <w:pStyle w:val="ListParagraph"/>
        <w:numPr>
          <w:ilvl w:val="1"/>
          <w:numId w:val="29"/>
        </w:numPr>
      </w:pPr>
      <w:r w:rsidRPr="002C559A">
        <w:t xml:space="preserve">cluster citizen views by theme, sentiment, and policy </w:t>
      </w:r>
      <w:proofErr w:type="gramStart"/>
      <w:r w:rsidRPr="002C559A">
        <w:t>area;</w:t>
      </w:r>
      <w:proofErr w:type="gramEnd"/>
    </w:p>
    <w:p w14:paraId="5EF8965E" w14:textId="537B7DB6" w:rsidR="002C559A" w:rsidRDefault="002C559A" w:rsidP="002C559A">
      <w:pPr>
        <w:pStyle w:val="ListParagraph"/>
        <w:numPr>
          <w:ilvl w:val="1"/>
          <w:numId w:val="29"/>
        </w:numPr>
      </w:pPr>
      <w:r w:rsidRPr="002C559A">
        <w:t xml:space="preserve">identify emerging concerns and priorities across different </w:t>
      </w:r>
      <w:proofErr w:type="gramStart"/>
      <w:r w:rsidRPr="002C559A">
        <w:t>communities;</w:t>
      </w:r>
      <w:proofErr w:type="gramEnd"/>
    </w:p>
    <w:p w14:paraId="7D0BB184" w14:textId="3EA98E91" w:rsidR="002C559A" w:rsidRPr="002C559A" w:rsidRDefault="002C559A" w:rsidP="002C559A">
      <w:pPr>
        <w:pStyle w:val="ListParagraph"/>
        <w:numPr>
          <w:ilvl w:val="1"/>
          <w:numId w:val="29"/>
        </w:numPr>
      </w:pPr>
      <w:r w:rsidRPr="002C559A">
        <w:t>generate bi-annual public sentiment summaries for policy consideration.</w:t>
      </w:r>
    </w:p>
    <w:p w14:paraId="44A61CCC" w14:textId="77777777" w:rsidR="002C559A" w:rsidRPr="002C559A" w:rsidRDefault="002C559A" w:rsidP="002C559A">
      <w:pPr>
        <w:numPr>
          <w:ilvl w:val="0"/>
          <w:numId w:val="21"/>
        </w:numPr>
      </w:pPr>
      <w:r w:rsidRPr="002C559A">
        <w:t xml:space="preserve">An annual </w:t>
      </w:r>
      <w:r w:rsidRPr="002C559A">
        <w:rPr>
          <w:b/>
          <w:bCs/>
        </w:rPr>
        <w:t>Citizen Equity Feedback Report (CEFR)</w:t>
      </w:r>
      <w:r w:rsidRPr="002C559A">
        <w:t xml:space="preserve"> shall be published by CEENI, highlighting:</w:t>
      </w:r>
    </w:p>
    <w:p w14:paraId="54A66F7A" w14:textId="56B7CEFC" w:rsidR="002C559A" w:rsidRDefault="002C559A" w:rsidP="002C559A">
      <w:pPr>
        <w:pStyle w:val="ListParagraph"/>
        <w:numPr>
          <w:ilvl w:val="1"/>
          <w:numId w:val="30"/>
        </w:numPr>
      </w:pPr>
      <w:r w:rsidRPr="002C559A">
        <w:t xml:space="preserve">the top five issues raised by </w:t>
      </w:r>
      <w:proofErr w:type="gramStart"/>
      <w:r w:rsidRPr="002C559A">
        <w:t>citizens;</w:t>
      </w:r>
      <w:proofErr w:type="gramEnd"/>
    </w:p>
    <w:p w14:paraId="76B2A787" w14:textId="742DC339" w:rsidR="002C559A" w:rsidRDefault="002C559A" w:rsidP="002C559A">
      <w:pPr>
        <w:pStyle w:val="ListParagraph"/>
        <w:numPr>
          <w:ilvl w:val="1"/>
          <w:numId w:val="30"/>
        </w:numPr>
      </w:pPr>
      <w:r w:rsidRPr="002C559A">
        <w:t xml:space="preserve">ethnic or regional disparities in participation and </w:t>
      </w:r>
      <w:proofErr w:type="gramStart"/>
      <w:r w:rsidRPr="002C559A">
        <w:t>perception;</w:t>
      </w:r>
      <w:proofErr w:type="gramEnd"/>
    </w:p>
    <w:p w14:paraId="33ABA416" w14:textId="5FFF1C82" w:rsidR="002C559A" w:rsidRPr="002C559A" w:rsidRDefault="002C559A" w:rsidP="002C559A">
      <w:pPr>
        <w:pStyle w:val="ListParagraph"/>
        <w:numPr>
          <w:ilvl w:val="1"/>
          <w:numId w:val="30"/>
        </w:numPr>
      </w:pPr>
      <w:r w:rsidRPr="002C559A">
        <w:t>CEENI’s response or policy adjustment measures.</w:t>
      </w:r>
    </w:p>
    <w:p w14:paraId="5AC2C1FF" w14:textId="77777777" w:rsidR="002C559A" w:rsidRDefault="002C559A" w:rsidP="002C559A">
      <w:pPr>
        <w:numPr>
          <w:ilvl w:val="0"/>
          <w:numId w:val="21"/>
        </w:numPr>
      </w:pPr>
      <w:r w:rsidRPr="002C559A">
        <w:t xml:space="preserve">No fees shall be charged for participation or digital submissions under this section, and all participation tools shall be available in </w:t>
      </w:r>
      <w:r w:rsidRPr="002C559A">
        <w:rPr>
          <w:b/>
          <w:bCs/>
        </w:rPr>
        <w:t>Swahili, English</w:t>
      </w:r>
      <w:r w:rsidRPr="002C559A">
        <w:t xml:space="preserve">, and </w:t>
      </w:r>
      <w:r w:rsidRPr="002C559A">
        <w:rPr>
          <w:b/>
          <w:bCs/>
        </w:rPr>
        <w:t>Kenya Sign Language</w:t>
      </w:r>
      <w:r w:rsidRPr="002C559A">
        <w:t>, with local language translation where practical.</w:t>
      </w:r>
    </w:p>
    <w:p w14:paraId="507E2AE2" w14:textId="770C1D14" w:rsidR="002C559A" w:rsidRDefault="002C559A">
      <w:r>
        <w:br w:type="page"/>
      </w:r>
    </w:p>
    <w:p w14:paraId="60BBE57F" w14:textId="77777777" w:rsidR="002C559A" w:rsidRPr="002C559A" w:rsidRDefault="002C559A" w:rsidP="00F64CB3">
      <w:pPr>
        <w:pStyle w:val="Heading2"/>
      </w:pPr>
      <w:bookmarkStart w:id="8" w:name="_Toc202632748"/>
      <w:r w:rsidRPr="002C559A">
        <w:lastRenderedPageBreak/>
        <w:t>9. Reporting Obligations and Transparency</w:t>
      </w:r>
      <w:bookmarkEnd w:id="8"/>
    </w:p>
    <w:p w14:paraId="23601B72" w14:textId="77777777" w:rsidR="002C559A" w:rsidRPr="002C559A" w:rsidRDefault="002C559A" w:rsidP="002C559A">
      <w:pPr>
        <w:numPr>
          <w:ilvl w:val="0"/>
          <w:numId w:val="31"/>
        </w:numPr>
      </w:pPr>
      <w:r w:rsidRPr="002C559A">
        <w:t xml:space="preserve">Every public institution shall submit to CEENI an </w:t>
      </w:r>
      <w:r w:rsidRPr="002C559A">
        <w:rPr>
          <w:b/>
          <w:bCs/>
        </w:rPr>
        <w:t>Annual Ethnic Composition Report</w:t>
      </w:r>
      <w:r w:rsidRPr="002C559A">
        <w:t>, in a format prescribed by CEENI, detailing:</w:t>
      </w:r>
    </w:p>
    <w:p w14:paraId="7C51C424" w14:textId="22829C17" w:rsidR="002C559A" w:rsidRDefault="002C559A" w:rsidP="002C559A">
      <w:pPr>
        <w:pStyle w:val="ListParagraph"/>
        <w:numPr>
          <w:ilvl w:val="0"/>
          <w:numId w:val="32"/>
        </w:numPr>
      </w:pPr>
      <w:r w:rsidRPr="002C559A">
        <w:t xml:space="preserve">total staff numbers disaggregated by ethnic group and job </w:t>
      </w:r>
      <w:proofErr w:type="gramStart"/>
      <w:r w:rsidRPr="002C559A">
        <w:t>level;</w:t>
      </w:r>
      <w:proofErr w:type="gramEnd"/>
    </w:p>
    <w:p w14:paraId="5410FA9C" w14:textId="7417EF48" w:rsidR="002C559A" w:rsidRDefault="002C559A" w:rsidP="002C559A">
      <w:pPr>
        <w:pStyle w:val="ListParagraph"/>
        <w:numPr>
          <w:ilvl w:val="0"/>
          <w:numId w:val="32"/>
        </w:numPr>
      </w:pPr>
      <w:r w:rsidRPr="002C559A">
        <w:t xml:space="preserve">appointments, promotions, and terminations within the </w:t>
      </w:r>
      <w:proofErr w:type="gramStart"/>
      <w:r w:rsidRPr="002C559A">
        <w:t>year;</w:t>
      </w:r>
      <w:proofErr w:type="gramEnd"/>
    </w:p>
    <w:p w14:paraId="731C96B3" w14:textId="53BF3918" w:rsidR="002C559A" w:rsidRDefault="002C559A" w:rsidP="002C559A">
      <w:pPr>
        <w:pStyle w:val="ListParagraph"/>
        <w:numPr>
          <w:ilvl w:val="0"/>
          <w:numId w:val="32"/>
        </w:numPr>
      </w:pPr>
      <w:r w:rsidRPr="002C559A">
        <w:t xml:space="preserve">recruitment advertisements, shortlists, and final </w:t>
      </w:r>
      <w:proofErr w:type="gramStart"/>
      <w:r w:rsidRPr="002C559A">
        <w:t>selections;</w:t>
      </w:r>
      <w:proofErr w:type="gramEnd"/>
    </w:p>
    <w:p w14:paraId="3909BAE2" w14:textId="7672D26A" w:rsidR="002C559A" w:rsidRPr="002C559A" w:rsidRDefault="002C559A" w:rsidP="002C559A">
      <w:pPr>
        <w:pStyle w:val="ListParagraph"/>
        <w:numPr>
          <w:ilvl w:val="0"/>
          <w:numId w:val="32"/>
        </w:numPr>
      </w:pPr>
      <w:r w:rsidRPr="002C559A">
        <w:t>leadership positions including board members, directors, and CEOs.</w:t>
      </w:r>
    </w:p>
    <w:p w14:paraId="45533B1B" w14:textId="77777777" w:rsidR="002C559A" w:rsidRPr="002C559A" w:rsidRDefault="002C559A" w:rsidP="002C559A">
      <w:pPr>
        <w:numPr>
          <w:ilvl w:val="0"/>
          <w:numId w:val="31"/>
        </w:numPr>
      </w:pPr>
      <w:r w:rsidRPr="002C559A">
        <w:t xml:space="preserve">CEENI shall review all submitted reports and publish a yearly </w:t>
      </w:r>
      <w:r w:rsidRPr="002C559A">
        <w:rPr>
          <w:b/>
          <w:bCs/>
        </w:rPr>
        <w:t>National Ethnic Equity Scorecard</w:t>
      </w:r>
      <w:r w:rsidRPr="002C559A">
        <w:t>, ranking public institutions according to:</w:t>
      </w:r>
    </w:p>
    <w:p w14:paraId="2D255E30" w14:textId="09CBAEEC" w:rsidR="002C559A" w:rsidRDefault="002C559A" w:rsidP="002C559A">
      <w:pPr>
        <w:pStyle w:val="ListParagraph"/>
        <w:numPr>
          <w:ilvl w:val="0"/>
          <w:numId w:val="34"/>
        </w:numPr>
      </w:pPr>
      <w:r w:rsidRPr="002C559A">
        <w:t xml:space="preserve">overall compliance with the Ethnic Equity Representation </w:t>
      </w:r>
      <w:proofErr w:type="gramStart"/>
      <w:r w:rsidRPr="002C559A">
        <w:t>Formula;</w:t>
      </w:r>
      <w:proofErr w:type="gramEnd"/>
    </w:p>
    <w:p w14:paraId="41C9586F" w14:textId="0BA55B20" w:rsidR="002C559A" w:rsidRDefault="002C559A" w:rsidP="002C559A">
      <w:pPr>
        <w:pStyle w:val="ListParagraph"/>
        <w:numPr>
          <w:ilvl w:val="0"/>
          <w:numId w:val="34"/>
        </w:numPr>
      </w:pPr>
      <w:r w:rsidRPr="002C559A">
        <w:t xml:space="preserve">trends in hiring and promotion </w:t>
      </w:r>
      <w:proofErr w:type="gramStart"/>
      <w:r w:rsidRPr="002C559A">
        <w:t>fairness;</w:t>
      </w:r>
      <w:proofErr w:type="gramEnd"/>
    </w:p>
    <w:p w14:paraId="250F4DD5" w14:textId="0FA715EF" w:rsidR="002C559A" w:rsidRPr="002C559A" w:rsidRDefault="002C559A" w:rsidP="002C559A">
      <w:pPr>
        <w:pStyle w:val="ListParagraph"/>
        <w:numPr>
          <w:ilvl w:val="0"/>
          <w:numId w:val="34"/>
        </w:numPr>
      </w:pPr>
      <w:r w:rsidRPr="002C559A">
        <w:t>progress toward corrective actions for previously identified imbalances.</w:t>
      </w:r>
    </w:p>
    <w:p w14:paraId="5729A1BE" w14:textId="77777777" w:rsidR="002C559A" w:rsidRPr="002C559A" w:rsidRDefault="002C559A" w:rsidP="002C559A">
      <w:pPr>
        <w:numPr>
          <w:ilvl w:val="0"/>
          <w:numId w:val="31"/>
        </w:numPr>
      </w:pPr>
      <w:r w:rsidRPr="002C559A">
        <w:t xml:space="preserve">All scorecards and audit summaries shall be published on CEENI’s official website, the </w:t>
      </w:r>
      <w:r w:rsidRPr="002C559A">
        <w:rPr>
          <w:b/>
          <w:bCs/>
        </w:rPr>
        <w:t>Kenya Public Ethnic Inclusion Dashboard (KPEID)</w:t>
      </w:r>
      <w:r w:rsidRPr="002C559A">
        <w:t xml:space="preserve">, and made accessible in public libraries, </w:t>
      </w:r>
      <w:proofErr w:type="spellStart"/>
      <w:r w:rsidRPr="002C559A">
        <w:t>Huduma</w:t>
      </w:r>
      <w:proofErr w:type="spellEnd"/>
      <w:r w:rsidRPr="002C559A">
        <w:t xml:space="preserve"> </w:t>
      </w:r>
      <w:proofErr w:type="spellStart"/>
      <w:r w:rsidRPr="002C559A">
        <w:t>Centres</w:t>
      </w:r>
      <w:proofErr w:type="spellEnd"/>
      <w:r w:rsidRPr="002C559A">
        <w:t>, and county offices.</w:t>
      </w:r>
    </w:p>
    <w:p w14:paraId="732EED28" w14:textId="77777777" w:rsidR="002C559A" w:rsidRPr="002C559A" w:rsidRDefault="002C559A" w:rsidP="002C559A">
      <w:pPr>
        <w:numPr>
          <w:ilvl w:val="0"/>
          <w:numId w:val="31"/>
        </w:numPr>
      </w:pPr>
      <w:r w:rsidRPr="002C559A">
        <w:t xml:space="preserve">A </w:t>
      </w:r>
      <w:r w:rsidRPr="002C559A">
        <w:rPr>
          <w:b/>
          <w:bCs/>
        </w:rPr>
        <w:t>Summary Report</w:t>
      </w:r>
      <w:r w:rsidRPr="002C559A">
        <w:t xml:space="preserve"> shall be tabled before the National Assembly and Senate every 12 months, outlining:</w:t>
      </w:r>
    </w:p>
    <w:p w14:paraId="6E074CAB" w14:textId="170FC882" w:rsidR="002C559A" w:rsidRDefault="002C559A" w:rsidP="002C559A">
      <w:pPr>
        <w:pStyle w:val="ListParagraph"/>
        <w:numPr>
          <w:ilvl w:val="0"/>
          <w:numId w:val="36"/>
        </w:numPr>
      </w:pPr>
      <w:r w:rsidRPr="002C559A">
        <w:t xml:space="preserve">national equity performance by ministry and </w:t>
      </w:r>
      <w:proofErr w:type="gramStart"/>
      <w:r w:rsidRPr="002C559A">
        <w:t>county;</w:t>
      </w:r>
      <w:proofErr w:type="gramEnd"/>
    </w:p>
    <w:p w14:paraId="7A19DF61" w14:textId="21F43B5A" w:rsidR="002C559A" w:rsidRDefault="002C559A" w:rsidP="002C559A">
      <w:pPr>
        <w:pStyle w:val="ListParagraph"/>
        <w:numPr>
          <w:ilvl w:val="0"/>
          <w:numId w:val="36"/>
        </w:numPr>
      </w:pPr>
      <w:r w:rsidRPr="002C559A">
        <w:t xml:space="preserve">recommendations for legal or administrative </w:t>
      </w:r>
      <w:proofErr w:type="gramStart"/>
      <w:r w:rsidRPr="002C559A">
        <w:t>reforms;</w:t>
      </w:r>
      <w:proofErr w:type="gramEnd"/>
    </w:p>
    <w:p w14:paraId="6A4D1063" w14:textId="716733A6" w:rsidR="002C559A" w:rsidRPr="002C559A" w:rsidRDefault="002C559A" w:rsidP="002C559A">
      <w:pPr>
        <w:pStyle w:val="ListParagraph"/>
        <w:numPr>
          <w:ilvl w:val="0"/>
          <w:numId w:val="36"/>
        </w:numPr>
      </w:pPr>
      <w:r w:rsidRPr="002C559A">
        <w:t>CEENI’s budget utilization, complaints received, and enforcement actions taken.</w:t>
      </w:r>
    </w:p>
    <w:p w14:paraId="297AA5B8" w14:textId="77777777" w:rsidR="002C559A" w:rsidRPr="002C559A" w:rsidRDefault="002C559A" w:rsidP="002C559A">
      <w:pPr>
        <w:numPr>
          <w:ilvl w:val="0"/>
          <w:numId w:val="31"/>
        </w:numPr>
      </w:pPr>
      <w:r w:rsidRPr="002C559A">
        <w:t xml:space="preserve">CEENI shall maintain a </w:t>
      </w:r>
      <w:r w:rsidRPr="002C559A">
        <w:rPr>
          <w:b/>
          <w:bCs/>
        </w:rPr>
        <w:t>Public Appointment Watchlist</w:t>
      </w:r>
      <w:r w:rsidRPr="002C559A">
        <w:t xml:space="preserve"> identifying positions that are critical to achieving ethnic equity goals, including vacancies in senior government roles.</w:t>
      </w:r>
    </w:p>
    <w:p w14:paraId="61345211" w14:textId="77777777" w:rsidR="002C559A" w:rsidRPr="002C559A" w:rsidRDefault="002C559A" w:rsidP="002C559A">
      <w:pPr>
        <w:numPr>
          <w:ilvl w:val="0"/>
          <w:numId w:val="31"/>
        </w:numPr>
      </w:pPr>
      <w:r w:rsidRPr="002C559A">
        <w:t>Any person may request access to CEENI data under the Access to Information Act, 2016.</w:t>
      </w:r>
    </w:p>
    <w:p w14:paraId="26C46ED8" w14:textId="3860F03E" w:rsidR="002C559A" w:rsidRDefault="002C559A">
      <w:r>
        <w:br w:type="page"/>
      </w:r>
    </w:p>
    <w:p w14:paraId="3A0C520C" w14:textId="77777777" w:rsidR="00574223" w:rsidRPr="00574223" w:rsidRDefault="00574223" w:rsidP="00F64CB3">
      <w:pPr>
        <w:pStyle w:val="Heading2"/>
      </w:pPr>
      <w:bookmarkStart w:id="9" w:name="_Toc202632749"/>
      <w:r w:rsidRPr="00574223">
        <w:lastRenderedPageBreak/>
        <w:t>10. Miscellaneous and Transitional Provisions</w:t>
      </w:r>
      <w:bookmarkEnd w:id="9"/>
    </w:p>
    <w:p w14:paraId="05B46DCE" w14:textId="77777777" w:rsidR="00574223" w:rsidRPr="00574223" w:rsidRDefault="00574223" w:rsidP="00574223">
      <w:pPr>
        <w:numPr>
          <w:ilvl w:val="0"/>
          <w:numId w:val="38"/>
        </w:numPr>
      </w:pPr>
      <w:r w:rsidRPr="00574223">
        <w:t xml:space="preserve">This Act shall come into operation </w:t>
      </w:r>
      <w:r w:rsidRPr="00574223">
        <w:rPr>
          <w:b/>
          <w:bCs/>
        </w:rPr>
        <w:t>six months</w:t>
      </w:r>
      <w:r w:rsidRPr="00574223">
        <w:t xml:space="preserve"> after the date of its publication in the Kenya Gazette.</w:t>
      </w:r>
    </w:p>
    <w:p w14:paraId="75E52A56" w14:textId="77777777" w:rsidR="00574223" w:rsidRPr="00574223" w:rsidRDefault="00574223" w:rsidP="00574223">
      <w:pPr>
        <w:numPr>
          <w:ilvl w:val="0"/>
          <w:numId w:val="38"/>
        </w:numPr>
      </w:pPr>
      <w:r w:rsidRPr="00574223">
        <w:t xml:space="preserve">Within the first </w:t>
      </w:r>
      <w:r w:rsidRPr="00574223">
        <w:rPr>
          <w:b/>
          <w:bCs/>
        </w:rPr>
        <w:t>three months</w:t>
      </w:r>
      <w:r w:rsidRPr="00574223">
        <w:t xml:space="preserve"> after commencement:</w:t>
      </w:r>
    </w:p>
    <w:p w14:paraId="00B348A8" w14:textId="3784D5DF" w:rsidR="00574223" w:rsidRDefault="00574223" w:rsidP="00574223">
      <w:pPr>
        <w:pStyle w:val="ListParagraph"/>
        <w:numPr>
          <w:ilvl w:val="0"/>
          <w:numId w:val="39"/>
        </w:numPr>
      </w:pPr>
      <w:r w:rsidRPr="00574223">
        <w:t xml:space="preserve">the President shall appoint an interim </w:t>
      </w:r>
      <w:r w:rsidRPr="00574223">
        <w:rPr>
          <w:b/>
          <w:bCs/>
        </w:rPr>
        <w:t>Board of CEENI</w:t>
      </w:r>
      <w:r w:rsidRPr="00574223">
        <w:t xml:space="preserve"> through a competitive and inclusive public </w:t>
      </w:r>
      <w:proofErr w:type="gramStart"/>
      <w:r w:rsidRPr="00574223">
        <w:t>process;</w:t>
      </w:r>
      <w:proofErr w:type="gramEnd"/>
    </w:p>
    <w:p w14:paraId="6E4A2BA4" w14:textId="6BFB2414" w:rsidR="00574223" w:rsidRDefault="00574223" w:rsidP="00574223">
      <w:pPr>
        <w:pStyle w:val="ListParagraph"/>
        <w:numPr>
          <w:ilvl w:val="0"/>
          <w:numId w:val="39"/>
        </w:numPr>
      </w:pPr>
      <w:r w:rsidRPr="00574223">
        <w:t xml:space="preserve">the Public Service Commission shall issue circulars to all ministries and parastatals informing them of the requirements of this </w:t>
      </w:r>
      <w:proofErr w:type="gramStart"/>
      <w:r w:rsidRPr="00574223">
        <w:t>Act;</w:t>
      </w:r>
      <w:proofErr w:type="gramEnd"/>
    </w:p>
    <w:p w14:paraId="73960F6A" w14:textId="39FCEB72" w:rsidR="00574223" w:rsidRPr="00574223" w:rsidRDefault="00574223" w:rsidP="00574223">
      <w:pPr>
        <w:pStyle w:val="ListParagraph"/>
        <w:numPr>
          <w:ilvl w:val="0"/>
          <w:numId w:val="39"/>
        </w:numPr>
      </w:pPr>
      <w:proofErr w:type="gramStart"/>
      <w:r w:rsidRPr="00574223">
        <w:t>the</w:t>
      </w:r>
      <w:proofErr w:type="gramEnd"/>
      <w:r w:rsidRPr="00574223">
        <w:t xml:space="preserve"> Salaries and Remuneration Commission shall develop incentive schemes for institutions that demonstrate sustained compliance with ethnic equity standards.</w:t>
      </w:r>
    </w:p>
    <w:p w14:paraId="5EDA3E2E" w14:textId="77777777" w:rsidR="00574223" w:rsidRPr="00574223" w:rsidRDefault="00574223" w:rsidP="00574223">
      <w:pPr>
        <w:numPr>
          <w:ilvl w:val="0"/>
          <w:numId w:val="38"/>
        </w:numPr>
      </w:pPr>
      <w:r w:rsidRPr="00574223">
        <w:t xml:space="preserve">Existing public institutions shall be granted a </w:t>
      </w:r>
      <w:r w:rsidRPr="00574223">
        <w:rPr>
          <w:b/>
          <w:bCs/>
        </w:rPr>
        <w:t>compliance adjustment period</w:t>
      </w:r>
      <w:r w:rsidRPr="00574223">
        <w:t xml:space="preserve"> of twelve (12) months from the commencement of this Act to align their ethnic composition with the legal thresholds established herein.</w:t>
      </w:r>
    </w:p>
    <w:p w14:paraId="75906178" w14:textId="77777777" w:rsidR="00574223" w:rsidRPr="00574223" w:rsidRDefault="00574223" w:rsidP="00574223">
      <w:pPr>
        <w:numPr>
          <w:ilvl w:val="0"/>
          <w:numId w:val="38"/>
        </w:numPr>
      </w:pPr>
      <w:r w:rsidRPr="00574223">
        <w:t>Where overrepresentation exists at the time of commencement, institutions shall not make further appointments from the overrepresented group until such time as balance is restored, unless such appointments are constitutionally mandated or required by law.</w:t>
      </w:r>
    </w:p>
    <w:p w14:paraId="3EF834FA" w14:textId="77777777" w:rsidR="00574223" w:rsidRPr="00574223" w:rsidRDefault="00574223" w:rsidP="00574223">
      <w:pPr>
        <w:numPr>
          <w:ilvl w:val="0"/>
          <w:numId w:val="38"/>
        </w:numPr>
      </w:pPr>
      <w:r w:rsidRPr="00574223">
        <w:t xml:space="preserve">Nothing in this Act shall prevent the appointment or promotion of any person </w:t>
      </w:r>
      <w:proofErr w:type="gramStart"/>
      <w:r w:rsidRPr="00574223">
        <w:t>on the basis of</w:t>
      </w:r>
      <w:proofErr w:type="gramEnd"/>
      <w:r w:rsidRPr="00574223">
        <w:t xml:space="preserve"> merit, provided that aggregate institutional compliance is maintained.</w:t>
      </w:r>
    </w:p>
    <w:p w14:paraId="53152260" w14:textId="77777777" w:rsidR="00574223" w:rsidRPr="00574223" w:rsidRDefault="00574223" w:rsidP="00574223">
      <w:pPr>
        <w:numPr>
          <w:ilvl w:val="0"/>
          <w:numId w:val="38"/>
        </w:numPr>
      </w:pPr>
      <w:r w:rsidRPr="00574223">
        <w:t>In case of conflict between this Act and any other legislation regarding ethnic representation, the provisions of this Act shall prevail to the extent of the inconsistency.</w:t>
      </w:r>
    </w:p>
    <w:p w14:paraId="79ED3E7B" w14:textId="41407489" w:rsidR="00574223" w:rsidRDefault="00574223">
      <w:r>
        <w:br w:type="page"/>
      </w:r>
    </w:p>
    <w:p w14:paraId="382BDA5A" w14:textId="77777777" w:rsidR="004C4925" w:rsidRPr="004C4925" w:rsidRDefault="004C4925" w:rsidP="00F64CB3">
      <w:pPr>
        <w:pStyle w:val="Heading2"/>
      </w:pPr>
      <w:bookmarkStart w:id="10" w:name="_Toc202632750"/>
      <w:r w:rsidRPr="004C4925">
        <w:lastRenderedPageBreak/>
        <w:t>11. Consequential Amendments</w:t>
      </w:r>
      <w:bookmarkEnd w:id="10"/>
    </w:p>
    <w:p w14:paraId="05648731" w14:textId="77777777" w:rsidR="004C4925" w:rsidRPr="004C4925" w:rsidRDefault="004C4925" w:rsidP="004C4925">
      <w:pPr>
        <w:numPr>
          <w:ilvl w:val="0"/>
          <w:numId w:val="41"/>
        </w:numPr>
      </w:pPr>
      <w:r w:rsidRPr="004C4925">
        <w:rPr>
          <w:b/>
          <w:bCs/>
        </w:rPr>
        <w:t>Amendment to the Political Parties Act</w:t>
      </w:r>
      <w:r w:rsidRPr="004C4925">
        <w:br/>
        <w:t>The Political Parties Act is amended by inserting the following new subsection under Section 7:</w:t>
      </w:r>
    </w:p>
    <w:p w14:paraId="7CA303C4" w14:textId="77777777" w:rsidR="004C4925" w:rsidRPr="004C4925" w:rsidRDefault="004C4925" w:rsidP="004C4925">
      <w:pPr>
        <w:ind w:left="1440"/>
      </w:pPr>
      <w:r w:rsidRPr="004C4925">
        <w:t>“(3A) In the registration and renewal of political parties, the Registrar shall consider whether the composition of the party leadership reflects ethnic equity in line with the Maximum Equity Threshold provided for under the Ethnic Equity and Public Representation Act.”</w:t>
      </w:r>
    </w:p>
    <w:p w14:paraId="14D47369" w14:textId="77777777" w:rsidR="004C4925" w:rsidRPr="004C4925" w:rsidRDefault="004C4925" w:rsidP="004C4925">
      <w:pPr>
        <w:numPr>
          <w:ilvl w:val="0"/>
          <w:numId w:val="41"/>
        </w:numPr>
      </w:pPr>
      <w:r w:rsidRPr="004C4925">
        <w:rPr>
          <w:b/>
          <w:bCs/>
        </w:rPr>
        <w:t>Amendment to the Public Service Commission Act</w:t>
      </w:r>
      <w:r w:rsidRPr="004C4925">
        <w:br/>
        <w:t>The Public Service Commission Act is amended by inserting the following new paragraph in the First Schedule:</w:t>
      </w:r>
    </w:p>
    <w:p w14:paraId="355C4AB4" w14:textId="77777777" w:rsidR="004C4925" w:rsidRPr="004C4925" w:rsidRDefault="004C4925" w:rsidP="004C4925">
      <w:pPr>
        <w:ind w:left="1440"/>
      </w:pPr>
      <w:r w:rsidRPr="004C4925">
        <w:t>“Public institutions shall report annually to the Centre for Ethnic Equity and National Inclusion (CEENI) on compliance with ethnic equity guidelines.”</w:t>
      </w:r>
    </w:p>
    <w:p w14:paraId="79A62524" w14:textId="02317D44" w:rsidR="009C47C8" w:rsidRDefault="004C4925" w:rsidP="004C4925">
      <w:pPr>
        <w:numPr>
          <w:ilvl w:val="0"/>
          <w:numId w:val="41"/>
        </w:numPr>
      </w:pPr>
      <w:r w:rsidRPr="004C4925">
        <w:rPr>
          <w:b/>
          <w:bCs/>
        </w:rPr>
        <w:t>Amendment to the National Cohesion and Integration Act</w:t>
      </w:r>
      <w:r w:rsidRPr="004C4925">
        <w:br/>
        <w:t xml:space="preserve">The National Cohesion and Integration Act is amended </w:t>
      </w:r>
      <w:proofErr w:type="gramStart"/>
      <w:r w:rsidRPr="004C4925">
        <w:t>by</w:t>
      </w:r>
      <w:r w:rsidR="009C47C8">
        <w:t>:-</w:t>
      </w:r>
      <w:proofErr w:type="gramEnd"/>
    </w:p>
    <w:p w14:paraId="071235F8" w14:textId="2791916E" w:rsidR="004C4925" w:rsidRDefault="004C4925" w:rsidP="009C47C8">
      <w:pPr>
        <w:numPr>
          <w:ilvl w:val="0"/>
          <w:numId w:val="42"/>
        </w:numPr>
      </w:pPr>
      <w:r w:rsidRPr="004C4925">
        <w:t xml:space="preserve">Replacing the term </w:t>
      </w:r>
      <w:r w:rsidRPr="004C4925">
        <w:rPr>
          <w:b/>
          <w:bCs/>
        </w:rPr>
        <w:t>“ethnic diversity”</w:t>
      </w:r>
      <w:r w:rsidRPr="004C4925">
        <w:t xml:space="preserve"> with </w:t>
      </w:r>
      <w:r w:rsidRPr="004C4925">
        <w:rPr>
          <w:b/>
          <w:bCs/>
        </w:rPr>
        <w:t>“ethnic equity”</w:t>
      </w:r>
      <w:r w:rsidRPr="004C4925">
        <w:t xml:space="preserve"> wherever it </w:t>
      </w:r>
      <w:proofErr w:type="gramStart"/>
      <w:r w:rsidRPr="004C4925">
        <w:t>appears;</w:t>
      </w:r>
      <w:proofErr w:type="gramEnd"/>
    </w:p>
    <w:p w14:paraId="3AE35E98" w14:textId="02710BFE" w:rsidR="004C4925" w:rsidRDefault="004C4925" w:rsidP="009C47C8">
      <w:pPr>
        <w:pStyle w:val="ListParagraph"/>
        <w:numPr>
          <w:ilvl w:val="0"/>
          <w:numId w:val="42"/>
        </w:numPr>
      </w:pPr>
      <w:r w:rsidRPr="004C4925">
        <w:t xml:space="preserve">Assigning monitoring of ethnic inclusion in appointments to the </w:t>
      </w:r>
      <w:r w:rsidRPr="009C47C8">
        <w:rPr>
          <w:b/>
          <w:bCs/>
        </w:rPr>
        <w:t>Centre for Ethnic Equity and National Inclusion (CEENI)</w:t>
      </w:r>
      <w:r w:rsidRPr="004C4925">
        <w:t>; and</w:t>
      </w:r>
    </w:p>
    <w:p w14:paraId="30AAA0C7" w14:textId="46BFD070" w:rsidR="004C4925" w:rsidRPr="004C4925" w:rsidRDefault="004C4925" w:rsidP="009C47C8">
      <w:pPr>
        <w:pStyle w:val="ListParagraph"/>
        <w:numPr>
          <w:ilvl w:val="0"/>
          <w:numId w:val="42"/>
        </w:numPr>
      </w:pPr>
      <w:r w:rsidRPr="004C4925">
        <w:t>Repealing provisions that conflict with the enforcement roles of CEENI under this Act.</w:t>
      </w:r>
    </w:p>
    <w:p w14:paraId="60C373C6" w14:textId="2FD60F1E" w:rsidR="00A47C1B" w:rsidRDefault="009C47C8">
      <w:r>
        <w:br w:type="page"/>
      </w:r>
    </w:p>
    <w:p w14:paraId="364C8179" w14:textId="77777777" w:rsidR="009672A2" w:rsidRPr="009672A2" w:rsidRDefault="009672A2" w:rsidP="00EE6CDB">
      <w:pPr>
        <w:pStyle w:val="Heading2"/>
      </w:pPr>
      <w:bookmarkStart w:id="11" w:name="_Toc202632751"/>
      <w:r w:rsidRPr="009672A2">
        <w:lastRenderedPageBreak/>
        <w:t>12. Data Protection and Ethical Use of Identity</w:t>
      </w:r>
      <w:bookmarkEnd w:id="11"/>
    </w:p>
    <w:p w14:paraId="300FDBF2" w14:textId="77777777" w:rsidR="009672A2" w:rsidRPr="009672A2" w:rsidRDefault="009672A2" w:rsidP="009672A2">
      <w:pPr>
        <w:numPr>
          <w:ilvl w:val="0"/>
          <w:numId w:val="44"/>
        </w:numPr>
      </w:pPr>
      <w:r w:rsidRPr="009672A2">
        <w:t xml:space="preserve">All data collected by CEENI, including ethnic identity data, shall be subject to the provisions of the </w:t>
      </w:r>
      <w:r w:rsidRPr="009672A2">
        <w:rPr>
          <w:b/>
          <w:bCs/>
        </w:rPr>
        <w:t>Data Protection Act, 2019</w:t>
      </w:r>
      <w:r w:rsidRPr="009672A2">
        <w:t>.</w:t>
      </w:r>
    </w:p>
    <w:p w14:paraId="6B759659" w14:textId="77777777" w:rsidR="009672A2" w:rsidRPr="009672A2" w:rsidRDefault="009672A2" w:rsidP="009672A2">
      <w:pPr>
        <w:numPr>
          <w:ilvl w:val="0"/>
          <w:numId w:val="44"/>
        </w:numPr>
      </w:pPr>
      <w:r w:rsidRPr="009672A2">
        <w:t>No individual shall be compelled to self-identify ethnically beyond what is required by census protocols or lawful registration frameworks.</w:t>
      </w:r>
    </w:p>
    <w:p w14:paraId="1915C075" w14:textId="77777777" w:rsidR="009672A2" w:rsidRPr="009672A2" w:rsidRDefault="009672A2" w:rsidP="009672A2">
      <w:pPr>
        <w:numPr>
          <w:ilvl w:val="0"/>
          <w:numId w:val="44"/>
        </w:numPr>
      </w:pPr>
      <w:r w:rsidRPr="009672A2">
        <w:t>Ethnic data shall only be used for institutional audit purposes and shall not be linked to individual performance, benefits, or civil rights.</w:t>
      </w:r>
    </w:p>
    <w:p w14:paraId="7285002C" w14:textId="77777777" w:rsidR="009672A2" w:rsidRPr="009672A2" w:rsidRDefault="009672A2" w:rsidP="009672A2">
      <w:pPr>
        <w:numPr>
          <w:ilvl w:val="0"/>
          <w:numId w:val="44"/>
        </w:numPr>
      </w:pPr>
      <w:r w:rsidRPr="009672A2">
        <w:t>CEENI shall anonymize and encrypt all identity data in compliance with best practices in civic tech, open governance, and ethical AI.</w:t>
      </w:r>
    </w:p>
    <w:p w14:paraId="7364969C" w14:textId="77777777" w:rsidR="009672A2" w:rsidRPr="009672A2" w:rsidRDefault="009672A2" w:rsidP="009672A2">
      <w:pPr>
        <w:numPr>
          <w:ilvl w:val="0"/>
          <w:numId w:val="44"/>
        </w:numPr>
      </w:pPr>
      <w:r w:rsidRPr="009672A2">
        <w:t>Any unauthorized access, misuse, or publication of personal ethnic data shall constitute a criminal offence punishable by law.</w:t>
      </w:r>
    </w:p>
    <w:p w14:paraId="75099779" w14:textId="377EC133" w:rsidR="00D22BF3" w:rsidRDefault="00D22BF3">
      <w:r>
        <w:br w:type="page"/>
      </w:r>
    </w:p>
    <w:p w14:paraId="344F969F" w14:textId="77777777" w:rsidR="00A77268" w:rsidRPr="00A77268" w:rsidRDefault="00A77268" w:rsidP="00EE6CDB">
      <w:pPr>
        <w:pStyle w:val="Heading2"/>
      </w:pPr>
      <w:bookmarkStart w:id="12" w:name="_Toc202632752"/>
      <w:r w:rsidRPr="00A77268">
        <w:lastRenderedPageBreak/>
        <w:t>13. Review and Oversight Mechanism</w:t>
      </w:r>
      <w:bookmarkEnd w:id="12"/>
    </w:p>
    <w:p w14:paraId="6C52192A" w14:textId="77777777" w:rsidR="00A77268" w:rsidRPr="00A77268" w:rsidRDefault="00A77268" w:rsidP="00A77268">
      <w:pPr>
        <w:numPr>
          <w:ilvl w:val="0"/>
          <w:numId w:val="45"/>
        </w:numPr>
      </w:pPr>
      <w:r w:rsidRPr="00A77268">
        <w:t xml:space="preserve">Parliament shall, within </w:t>
      </w:r>
      <w:r w:rsidRPr="00A77268">
        <w:rPr>
          <w:b/>
          <w:bCs/>
        </w:rPr>
        <w:t>five (5) years</w:t>
      </w:r>
      <w:r w:rsidRPr="00A77268">
        <w:t xml:space="preserve"> of the commencement of this Act, conduct a comprehensive review of the law’s implementation, effectiveness, and public satisfaction.</w:t>
      </w:r>
    </w:p>
    <w:p w14:paraId="249C646F" w14:textId="77777777" w:rsidR="00A77268" w:rsidRPr="00A77268" w:rsidRDefault="00A77268" w:rsidP="00A77268">
      <w:pPr>
        <w:numPr>
          <w:ilvl w:val="0"/>
          <w:numId w:val="45"/>
        </w:numPr>
      </w:pPr>
      <w:r w:rsidRPr="00A77268">
        <w:t xml:space="preserve">CEENI shall submit an </w:t>
      </w:r>
      <w:r w:rsidRPr="00A77268">
        <w:rPr>
          <w:b/>
          <w:bCs/>
        </w:rPr>
        <w:t>Annual Ethnic Equity Performance Report</w:t>
      </w:r>
      <w:r w:rsidRPr="00A77268">
        <w:t xml:space="preserve"> to:</w:t>
      </w:r>
    </w:p>
    <w:p w14:paraId="1EC5B9B0" w14:textId="77777777" w:rsidR="00A77268" w:rsidRPr="00A77268" w:rsidRDefault="00A77268" w:rsidP="00A77268">
      <w:pPr>
        <w:numPr>
          <w:ilvl w:val="1"/>
          <w:numId w:val="45"/>
        </w:numPr>
      </w:pPr>
      <w:r w:rsidRPr="00A77268">
        <w:t>The National Assembly,</w:t>
      </w:r>
    </w:p>
    <w:p w14:paraId="227153BB" w14:textId="77777777" w:rsidR="00A77268" w:rsidRPr="00A77268" w:rsidRDefault="00A77268" w:rsidP="00A77268">
      <w:pPr>
        <w:numPr>
          <w:ilvl w:val="1"/>
          <w:numId w:val="45"/>
        </w:numPr>
      </w:pPr>
      <w:r w:rsidRPr="00A77268">
        <w:t>The Senate,</w:t>
      </w:r>
    </w:p>
    <w:p w14:paraId="70A5E8A6" w14:textId="77777777" w:rsidR="00A77268" w:rsidRPr="00A77268" w:rsidRDefault="00A77268" w:rsidP="00A77268">
      <w:pPr>
        <w:numPr>
          <w:ilvl w:val="1"/>
          <w:numId w:val="45"/>
        </w:numPr>
      </w:pPr>
      <w:r w:rsidRPr="00A77268">
        <w:t>The Commission on Administrative Justice (Office of the Ombudsman), and</w:t>
      </w:r>
    </w:p>
    <w:p w14:paraId="27DB1F98" w14:textId="77777777" w:rsidR="00A77268" w:rsidRPr="00A77268" w:rsidRDefault="00A77268" w:rsidP="00A77268">
      <w:pPr>
        <w:numPr>
          <w:ilvl w:val="1"/>
          <w:numId w:val="45"/>
        </w:numPr>
      </w:pPr>
      <w:r w:rsidRPr="00A77268">
        <w:t>The Kenya National Commission on Human Rights.</w:t>
      </w:r>
    </w:p>
    <w:p w14:paraId="1C57C44A" w14:textId="77777777" w:rsidR="00A77268" w:rsidRPr="00A77268" w:rsidRDefault="00A77268" w:rsidP="00A77268">
      <w:pPr>
        <w:numPr>
          <w:ilvl w:val="0"/>
          <w:numId w:val="45"/>
        </w:numPr>
      </w:pPr>
      <w:r w:rsidRPr="00A77268">
        <w:t>This report shall:</w:t>
      </w:r>
    </w:p>
    <w:p w14:paraId="6E121BF4" w14:textId="77777777" w:rsidR="00A77268" w:rsidRPr="00A77268" w:rsidRDefault="00A77268" w:rsidP="00A77268">
      <w:pPr>
        <w:numPr>
          <w:ilvl w:val="1"/>
          <w:numId w:val="45"/>
        </w:numPr>
      </w:pPr>
      <w:r w:rsidRPr="00A77268">
        <w:t>Detail national and county compliance,</w:t>
      </w:r>
    </w:p>
    <w:p w14:paraId="47C74E03" w14:textId="77777777" w:rsidR="00A77268" w:rsidRPr="00A77268" w:rsidRDefault="00A77268" w:rsidP="00A77268">
      <w:pPr>
        <w:numPr>
          <w:ilvl w:val="1"/>
          <w:numId w:val="45"/>
        </w:numPr>
      </w:pPr>
      <w:r w:rsidRPr="00A77268">
        <w:t>Highlight areas of systemic bias or progress,</w:t>
      </w:r>
    </w:p>
    <w:p w14:paraId="440891FF" w14:textId="77777777" w:rsidR="00A77268" w:rsidRPr="00A77268" w:rsidRDefault="00A77268" w:rsidP="00A77268">
      <w:pPr>
        <w:numPr>
          <w:ilvl w:val="1"/>
          <w:numId w:val="45"/>
        </w:numPr>
      </w:pPr>
      <w:r w:rsidRPr="00A77268">
        <w:t>Include public participation feedback summaries,</w:t>
      </w:r>
    </w:p>
    <w:p w14:paraId="17D5B35D" w14:textId="77777777" w:rsidR="00A77268" w:rsidRPr="00A77268" w:rsidRDefault="00A77268" w:rsidP="00A77268">
      <w:pPr>
        <w:numPr>
          <w:ilvl w:val="1"/>
          <w:numId w:val="45"/>
        </w:numPr>
      </w:pPr>
      <w:r w:rsidRPr="00A77268">
        <w:t>Recommend legislative or administrative reforms.</w:t>
      </w:r>
    </w:p>
    <w:p w14:paraId="7C4EB473" w14:textId="77777777" w:rsidR="00A77268" w:rsidRPr="00A77268" w:rsidRDefault="00A77268" w:rsidP="00A77268">
      <w:pPr>
        <w:numPr>
          <w:ilvl w:val="0"/>
          <w:numId w:val="45"/>
        </w:numPr>
      </w:pPr>
      <w:r w:rsidRPr="00A77268">
        <w:t>Parliament shall, upon review of the five-year report, table a motion for retention, amendment, or expansion of this Act.</w:t>
      </w:r>
    </w:p>
    <w:p w14:paraId="726D8C6C" w14:textId="77777777" w:rsidR="00A77268" w:rsidRDefault="00A77268" w:rsidP="00A77268">
      <w:pPr>
        <w:numPr>
          <w:ilvl w:val="0"/>
          <w:numId w:val="45"/>
        </w:numPr>
      </w:pPr>
      <w:r w:rsidRPr="00A77268">
        <w:t xml:space="preserve">CEENI may at any time recommend </w:t>
      </w:r>
      <w:r w:rsidRPr="00A77268">
        <w:rPr>
          <w:b/>
          <w:bCs/>
        </w:rPr>
        <w:t>interim amendments</w:t>
      </w:r>
      <w:r w:rsidRPr="00A77268">
        <w:t xml:space="preserve"> based on emerging demographic data, constitutional changes, or significant jurisprudence.</w:t>
      </w:r>
    </w:p>
    <w:p w14:paraId="011E3EB2" w14:textId="55D65D02" w:rsidR="00A77268" w:rsidRDefault="00A77268">
      <w:r>
        <w:br w:type="page"/>
      </w:r>
    </w:p>
    <w:p w14:paraId="2442D7C3" w14:textId="77777777" w:rsidR="006F3568" w:rsidRPr="006F3568" w:rsidRDefault="006F3568" w:rsidP="00EE6CDB">
      <w:pPr>
        <w:pStyle w:val="Heading2"/>
      </w:pPr>
      <w:bookmarkStart w:id="13" w:name="_Toc202632753"/>
      <w:r w:rsidRPr="006F3568">
        <w:lastRenderedPageBreak/>
        <w:t>14. Whistleblower Protection Clause</w:t>
      </w:r>
      <w:bookmarkEnd w:id="13"/>
    </w:p>
    <w:p w14:paraId="335C109C" w14:textId="77777777" w:rsidR="006F3568" w:rsidRPr="006F3568" w:rsidRDefault="006F3568" w:rsidP="006F3568">
      <w:pPr>
        <w:numPr>
          <w:ilvl w:val="0"/>
          <w:numId w:val="46"/>
        </w:numPr>
      </w:pPr>
      <w:r w:rsidRPr="006F3568">
        <w:t>Any person who reports a violation of ethnic equity requirements — including but not limited to:</w:t>
      </w:r>
    </w:p>
    <w:p w14:paraId="6DF5F00F" w14:textId="77777777" w:rsidR="006F3568" w:rsidRPr="006F3568" w:rsidRDefault="006F3568" w:rsidP="006F3568">
      <w:pPr>
        <w:numPr>
          <w:ilvl w:val="1"/>
          <w:numId w:val="46"/>
        </w:numPr>
      </w:pPr>
      <w:r w:rsidRPr="006F3568">
        <w:t>Overrepresentation of a single ethnic group,</w:t>
      </w:r>
    </w:p>
    <w:p w14:paraId="0F0762EB" w14:textId="77777777" w:rsidR="006F3568" w:rsidRPr="006F3568" w:rsidRDefault="006F3568" w:rsidP="006F3568">
      <w:pPr>
        <w:numPr>
          <w:ilvl w:val="1"/>
          <w:numId w:val="46"/>
        </w:numPr>
      </w:pPr>
      <w:r w:rsidRPr="006F3568">
        <w:t>Falsified reporting to CEENI,</w:t>
      </w:r>
    </w:p>
    <w:p w14:paraId="296A8167" w14:textId="77777777" w:rsidR="006F3568" w:rsidRPr="006F3568" w:rsidRDefault="006F3568" w:rsidP="006F3568">
      <w:pPr>
        <w:numPr>
          <w:ilvl w:val="1"/>
          <w:numId w:val="46"/>
        </w:numPr>
      </w:pPr>
      <w:r w:rsidRPr="006F3568">
        <w:t>Political interference in institutional appointments,</w:t>
      </w:r>
    </w:p>
    <w:p w14:paraId="75F31073" w14:textId="77777777" w:rsidR="006F3568" w:rsidRPr="006F3568" w:rsidRDefault="006F3568" w:rsidP="006F3568">
      <w:pPr>
        <w:numPr>
          <w:ilvl w:val="1"/>
          <w:numId w:val="46"/>
        </w:numPr>
      </w:pPr>
      <w:r w:rsidRPr="006F3568">
        <w:t>Hate speech or incitement tied to identity—</w:t>
      </w:r>
    </w:p>
    <w:p w14:paraId="08CB0949" w14:textId="77777777" w:rsidR="006F3568" w:rsidRPr="006F3568" w:rsidRDefault="006F3568" w:rsidP="006F3568">
      <w:r w:rsidRPr="006F3568">
        <w:t xml:space="preserve">—shall be entitled to legal protection as a </w:t>
      </w:r>
      <w:r w:rsidRPr="006F3568">
        <w:rPr>
          <w:b/>
          <w:bCs/>
        </w:rPr>
        <w:t>whistleblower</w:t>
      </w:r>
      <w:r w:rsidRPr="006F3568">
        <w:t xml:space="preserve"> under the </w:t>
      </w:r>
      <w:r w:rsidRPr="006F3568">
        <w:rPr>
          <w:b/>
          <w:bCs/>
        </w:rPr>
        <w:t>Whistleblower Protection Act, 2023</w:t>
      </w:r>
      <w:r w:rsidRPr="006F3568">
        <w:t>.</w:t>
      </w:r>
    </w:p>
    <w:p w14:paraId="702FF295" w14:textId="77777777" w:rsidR="006F3568" w:rsidRPr="006F3568" w:rsidRDefault="006F3568" w:rsidP="006F3568">
      <w:pPr>
        <w:numPr>
          <w:ilvl w:val="0"/>
          <w:numId w:val="46"/>
        </w:numPr>
      </w:pPr>
      <w:r w:rsidRPr="006F3568">
        <w:t xml:space="preserve">CEENI shall establish a </w:t>
      </w:r>
      <w:r w:rsidRPr="006F3568">
        <w:rPr>
          <w:b/>
          <w:bCs/>
        </w:rPr>
        <w:t>secure and anonymous digital portal</w:t>
      </w:r>
      <w:r w:rsidRPr="006F3568">
        <w:t xml:space="preserve"> for filing ethnic equity-related complaints, with options for:</w:t>
      </w:r>
    </w:p>
    <w:p w14:paraId="7A7A3FC0" w14:textId="77777777" w:rsidR="006F3568" w:rsidRPr="006F3568" w:rsidRDefault="006F3568" w:rsidP="006F3568">
      <w:pPr>
        <w:numPr>
          <w:ilvl w:val="1"/>
          <w:numId w:val="46"/>
        </w:numPr>
      </w:pPr>
      <w:r w:rsidRPr="006F3568">
        <w:t>Confidential identity,</w:t>
      </w:r>
    </w:p>
    <w:p w14:paraId="3EECB23E" w14:textId="77777777" w:rsidR="006F3568" w:rsidRPr="006F3568" w:rsidRDefault="006F3568" w:rsidP="006F3568">
      <w:pPr>
        <w:numPr>
          <w:ilvl w:val="1"/>
          <w:numId w:val="46"/>
        </w:numPr>
      </w:pPr>
      <w:r w:rsidRPr="006F3568">
        <w:t>Open reports,</w:t>
      </w:r>
    </w:p>
    <w:p w14:paraId="197EDA5B" w14:textId="77777777" w:rsidR="006F3568" w:rsidRPr="006F3568" w:rsidRDefault="006F3568" w:rsidP="006F3568">
      <w:pPr>
        <w:numPr>
          <w:ilvl w:val="1"/>
          <w:numId w:val="46"/>
        </w:numPr>
      </w:pPr>
      <w:r w:rsidRPr="006F3568">
        <w:t>Encrypted evidence uploads.</w:t>
      </w:r>
    </w:p>
    <w:p w14:paraId="328B82C4" w14:textId="77777777" w:rsidR="006F3568" w:rsidRPr="006F3568" w:rsidRDefault="006F3568" w:rsidP="006F3568">
      <w:pPr>
        <w:numPr>
          <w:ilvl w:val="0"/>
          <w:numId w:val="46"/>
        </w:numPr>
      </w:pPr>
      <w:r w:rsidRPr="006F3568">
        <w:t>No individual shall be dismissed, threatened, harassed, or demoted for making a good faith report under this Act.</w:t>
      </w:r>
    </w:p>
    <w:p w14:paraId="2D246B67" w14:textId="77777777" w:rsidR="006F3568" w:rsidRPr="006F3568" w:rsidRDefault="006F3568" w:rsidP="006F3568">
      <w:pPr>
        <w:numPr>
          <w:ilvl w:val="0"/>
          <w:numId w:val="46"/>
        </w:numPr>
      </w:pPr>
      <w:r w:rsidRPr="006F3568">
        <w:t>Institutions found retaliating against whistleblowers shall:</w:t>
      </w:r>
    </w:p>
    <w:p w14:paraId="69390BDB" w14:textId="77777777" w:rsidR="006F3568" w:rsidRPr="006F3568" w:rsidRDefault="006F3568" w:rsidP="006F3568">
      <w:pPr>
        <w:numPr>
          <w:ilvl w:val="1"/>
          <w:numId w:val="46"/>
        </w:numPr>
      </w:pPr>
      <w:r w:rsidRPr="006F3568">
        <w:t xml:space="preserve">Be liable for a fine not less than </w:t>
      </w:r>
      <w:proofErr w:type="spellStart"/>
      <w:r w:rsidRPr="006F3568">
        <w:rPr>
          <w:b/>
          <w:bCs/>
        </w:rPr>
        <w:t>KSh</w:t>
      </w:r>
      <w:proofErr w:type="spellEnd"/>
      <w:r w:rsidRPr="006F3568">
        <w:rPr>
          <w:b/>
          <w:bCs/>
        </w:rPr>
        <w:t xml:space="preserve"> 500,000</w:t>
      </w:r>
      <w:r w:rsidRPr="006F3568">
        <w:t>,</w:t>
      </w:r>
    </w:p>
    <w:p w14:paraId="4C88CEAA" w14:textId="77777777" w:rsidR="006F3568" w:rsidRPr="006F3568" w:rsidRDefault="006F3568" w:rsidP="006F3568">
      <w:pPr>
        <w:numPr>
          <w:ilvl w:val="1"/>
          <w:numId w:val="46"/>
        </w:numPr>
      </w:pPr>
      <w:r w:rsidRPr="006F3568">
        <w:t>Face a 12-month suspension from ethnic equity compliance certification,</w:t>
      </w:r>
    </w:p>
    <w:p w14:paraId="376D1E22" w14:textId="77777777" w:rsidR="006F3568" w:rsidRPr="006F3568" w:rsidRDefault="006F3568" w:rsidP="006F3568">
      <w:pPr>
        <w:numPr>
          <w:ilvl w:val="1"/>
          <w:numId w:val="46"/>
        </w:numPr>
      </w:pPr>
      <w:r w:rsidRPr="006F3568">
        <w:t>Have responsible officers held personally accountable.</w:t>
      </w:r>
    </w:p>
    <w:p w14:paraId="1BBB04B3" w14:textId="66E50514" w:rsidR="006F3568" w:rsidRDefault="006F3568">
      <w:r>
        <w:br w:type="page"/>
      </w:r>
    </w:p>
    <w:p w14:paraId="7E883121" w14:textId="5731A9EB" w:rsidR="00DF6C85" w:rsidRPr="00DF6C85" w:rsidRDefault="00DF6C85" w:rsidP="00001360">
      <w:pPr>
        <w:pStyle w:val="Heading2"/>
      </w:pPr>
      <w:bookmarkStart w:id="14" w:name="_Toc202632754"/>
      <w:r w:rsidRPr="00DF6C85">
        <w:lastRenderedPageBreak/>
        <w:t>Annex</w:t>
      </w:r>
      <w:r w:rsidR="00001360">
        <w:t xml:space="preserve"> A</w:t>
      </w:r>
      <w:r w:rsidRPr="00DF6C85">
        <w:t>: Institutional Equity Grading Rubric (Scorecard Legend)</w:t>
      </w:r>
      <w:bookmarkEnd w:id="14"/>
    </w:p>
    <w:p w14:paraId="49D1B0A7" w14:textId="77777777" w:rsidR="00DF6C85" w:rsidRPr="00DF6C85" w:rsidRDefault="00DF6C85" w:rsidP="00DF6C85">
      <w:r w:rsidRPr="00DF6C85">
        <w:t xml:space="preserve">Each public institution shall receive an annual </w:t>
      </w:r>
      <w:r w:rsidRPr="00DF6C85">
        <w:rPr>
          <w:b/>
          <w:bCs/>
        </w:rPr>
        <w:t>Equity Compliance Grade</w:t>
      </w:r>
      <w:r w:rsidRPr="00DF6C85">
        <w:t xml:space="preserve"> based on its adherence to the Ethnic Equity and Public Representation Act.</w:t>
      </w:r>
    </w:p>
    <w:p w14:paraId="0C72E5A4" w14:textId="77777777" w:rsidR="00DF6C85" w:rsidRPr="00DF6C85" w:rsidRDefault="00DF6C85" w:rsidP="00DF6C85">
      <w:pPr>
        <w:rPr>
          <w:b/>
          <w:bCs/>
        </w:rPr>
      </w:pPr>
      <w:r w:rsidRPr="00DF6C85">
        <w:rPr>
          <w:rFonts w:ascii="Segoe UI Emoji" w:hAnsi="Segoe UI Emoji" w:cs="Segoe UI Emoji"/>
          <w:b/>
          <w:bCs/>
        </w:rPr>
        <w:t>🏷️</w:t>
      </w:r>
      <w:r w:rsidRPr="00DF6C85">
        <w:rPr>
          <w:b/>
          <w:bCs/>
        </w:rPr>
        <w:t xml:space="preserve"> Grading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7161"/>
      </w:tblGrid>
      <w:tr w:rsidR="00DF6C85" w:rsidRPr="00DF6C85" w14:paraId="5C873751" w14:textId="77777777" w:rsidTr="00DF6C85">
        <w:trPr>
          <w:tblHeader/>
          <w:tblCellSpacing w:w="15" w:type="dxa"/>
        </w:trPr>
        <w:tc>
          <w:tcPr>
            <w:tcW w:w="0" w:type="auto"/>
            <w:vAlign w:val="center"/>
            <w:hideMark/>
          </w:tcPr>
          <w:p w14:paraId="2EE0786E" w14:textId="77777777" w:rsidR="00DF6C85" w:rsidRPr="00DF6C85" w:rsidRDefault="00DF6C85" w:rsidP="00DF6C85">
            <w:pPr>
              <w:rPr>
                <w:b/>
                <w:bCs/>
              </w:rPr>
            </w:pPr>
            <w:r w:rsidRPr="00DF6C85">
              <w:rPr>
                <w:b/>
                <w:bCs/>
              </w:rPr>
              <w:t>Grade</w:t>
            </w:r>
          </w:p>
        </w:tc>
        <w:tc>
          <w:tcPr>
            <w:tcW w:w="0" w:type="auto"/>
            <w:vAlign w:val="center"/>
            <w:hideMark/>
          </w:tcPr>
          <w:p w14:paraId="7478E21C" w14:textId="77777777" w:rsidR="00DF6C85" w:rsidRPr="00DF6C85" w:rsidRDefault="00DF6C85" w:rsidP="00DF6C85">
            <w:pPr>
              <w:rPr>
                <w:b/>
                <w:bCs/>
              </w:rPr>
            </w:pPr>
            <w:r w:rsidRPr="00DF6C85">
              <w:rPr>
                <w:b/>
                <w:bCs/>
              </w:rPr>
              <w:t>Definition</w:t>
            </w:r>
          </w:p>
        </w:tc>
      </w:tr>
      <w:tr w:rsidR="00DF6C85" w:rsidRPr="00DF6C85" w14:paraId="09658448" w14:textId="77777777" w:rsidTr="00DF6C85">
        <w:trPr>
          <w:tblCellSpacing w:w="15" w:type="dxa"/>
        </w:trPr>
        <w:tc>
          <w:tcPr>
            <w:tcW w:w="0" w:type="auto"/>
            <w:vAlign w:val="center"/>
            <w:hideMark/>
          </w:tcPr>
          <w:p w14:paraId="4A621509" w14:textId="77777777" w:rsidR="00DF6C85" w:rsidRPr="00DF6C85" w:rsidRDefault="00DF6C85" w:rsidP="00DF6C85">
            <w:r w:rsidRPr="00DF6C85">
              <w:rPr>
                <w:b/>
                <w:bCs/>
              </w:rPr>
              <w:t>A – Full Compliance</w:t>
            </w:r>
          </w:p>
        </w:tc>
        <w:tc>
          <w:tcPr>
            <w:tcW w:w="0" w:type="auto"/>
            <w:vAlign w:val="center"/>
            <w:hideMark/>
          </w:tcPr>
          <w:p w14:paraId="2FCDE8B7" w14:textId="77777777" w:rsidR="00DF6C85" w:rsidRPr="00DF6C85" w:rsidRDefault="00DF6C85" w:rsidP="00DF6C85">
            <w:r w:rsidRPr="00DF6C85">
              <w:t>Institution meets or exceeds equity targets across all leadership and staffing levels.</w:t>
            </w:r>
          </w:p>
        </w:tc>
      </w:tr>
      <w:tr w:rsidR="00DF6C85" w:rsidRPr="00DF6C85" w14:paraId="47FD1808" w14:textId="77777777" w:rsidTr="00DF6C85">
        <w:trPr>
          <w:tblCellSpacing w:w="15" w:type="dxa"/>
        </w:trPr>
        <w:tc>
          <w:tcPr>
            <w:tcW w:w="0" w:type="auto"/>
            <w:vAlign w:val="center"/>
            <w:hideMark/>
          </w:tcPr>
          <w:p w14:paraId="169082CB" w14:textId="77777777" w:rsidR="00DF6C85" w:rsidRPr="00DF6C85" w:rsidRDefault="00DF6C85" w:rsidP="00DF6C85">
            <w:r w:rsidRPr="00DF6C85">
              <w:rPr>
                <w:b/>
                <w:bCs/>
              </w:rPr>
              <w:t>B – Partial Compliance</w:t>
            </w:r>
          </w:p>
        </w:tc>
        <w:tc>
          <w:tcPr>
            <w:tcW w:w="0" w:type="auto"/>
            <w:vAlign w:val="center"/>
            <w:hideMark/>
          </w:tcPr>
          <w:p w14:paraId="40F667E8" w14:textId="77777777" w:rsidR="00DF6C85" w:rsidRPr="00DF6C85" w:rsidRDefault="00DF6C85" w:rsidP="00DF6C85">
            <w:r w:rsidRPr="00DF6C85">
              <w:t>Minor gaps identified; corrective action required within 6 months.</w:t>
            </w:r>
          </w:p>
        </w:tc>
      </w:tr>
      <w:tr w:rsidR="00DF6C85" w:rsidRPr="00DF6C85" w14:paraId="761DF98E" w14:textId="77777777" w:rsidTr="00DF6C85">
        <w:trPr>
          <w:tblCellSpacing w:w="15" w:type="dxa"/>
        </w:trPr>
        <w:tc>
          <w:tcPr>
            <w:tcW w:w="0" w:type="auto"/>
            <w:vAlign w:val="center"/>
            <w:hideMark/>
          </w:tcPr>
          <w:p w14:paraId="538FC232" w14:textId="77777777" w:rsidR="00DF6C85" w:rsidRPr="00DF6C85" w:rsidRDefault="00DF6C85" w:rsidP="00DF6C85">
            <w:r w:rsidRPr="00DF6C85">
              <w:rPr>
                <w:b/>
                <w:bCs/>
              </w:rPr>
              <w:t>C – Under Review</w:t>
            </w:r>
          </w:p>
        </w:tc>
        <w:tc>
          <w:tcPr>
            <w:tcW w:w="0" w:type="auto"/>
            <w:vAlign w:val="center"/>
            <w:hideMark/>
          </w:tcPr>
          <w:p w14:paraId="4D19E975" w14:textId="77777777" w:rsidR="00DF6C85" w:rsidRPr="00DF6C85" w:rsidRDefault="00DF6C85" w:rsidP="00DF6C85">
            <w:r w:rsidRPr="00DF6C85">
              <w:t xml:space="preserve">Major imbalance in one or more </w:t>
            </w:r>
            <w:proofErr w:type="gramStart"/>
            <w:r w:rsidRPr="00DF6C85">
              <w:t>tiers</w:t>
            </w:r>
            <w:proofErr w:type="gramEnd"/>
            <w:r w:rsidRPr="00DF6C85">
              <w:t>; institution must submit compliance plan.</w:t>
            </w:r>
          </w:p>
        </w:tc>
      </w:tr>
      <w:tr w:rsidR="00DF6C85" w:rsidRPr="00DF6C85" w14:paraId="69343AD3" w14:textId="77777777" w:rsidTr="00DF6C85">
        <w:trPr>
          <w:tblCellSpacing w:w="15" w:type="dxa"/>
        </w:trPr>
        <w:tc>
          <w:tcPr>
            <w:tcW w:w="0" w:type="auto"/>
            <w:vAlign w:val="center"/>
            <w:hideMark/>
          </w:tcPr>
          <w:p w14:paraId="76FBA46F" w14:textId="77777777" w:rsidR="00DF6C85" w:rsidRPr="00DF6C85" w:rsidRDefault="00DF6C85" w:rsidP="00DF6C85">
            <w:r w:rsidRPr="00DF6C85">
              <w:rPr>
                <w:b/>
                <w:bCs/>
              </w:rPr>
              <w:t xml:space="preserve">D – </w:t>
            </w:r>
            <w:proofErr w:type="gramStart"/>
            <w:r w:rsidRPr="00DF6C85">
              <w:rPr>
                <w:b/>
                <w:bCs/>
              </w:rPr>
              <w:t>Non-Compliant</w:t>
            </w:r>
            <w:proofErr w:type="gramEnd"/>
          </w:p>
        </w:tc>
        <w:tc>
          <w:tcPr>
            <w:tcW w:w="0" w:type="auto"/>
            <w:vAlign w:val="center"/>
            <w:hideMark/>
          </w:tcPr>
          <w:p w14:paraId="2EE02D3D" w14:textId="77777777" w:rsidR="00DF6C85" w:rsidRPr="00DF6C85" w:rsidRDefault="00DF6C85" w:rsidP="00DF6C85">
            <w:r w:rsidRPr="00DF6C85">
              <w:t>Willful disregard or falsified reporting; subject to sanctions and budgetary penalties.</w:t>
            </w:r>
          </w:p>
        </w:tc>
      </w:tr>
      <w:tr w:rsidR="00DF6C85" w:rsidRPr="00DF6C85" w14:paraId="2515225D" w14:textId="77777777" w:rsidTr="00DF6C85">
        <w:trPr>
          <w:tblCellSpacing w:w="15" w:type="dxa"/>
        </w:trPr>
        <w:tc>
          <w:tcPr>
            <w:tcW w:w="0" w:type="auto"/>
            <w:vAlign w:val="center"/>
            <w:hideMark/>
          </w:tcPr>
          <w:p w14:paraId="13C19D4D" w14:textId="77777777" w:rsidR="00DF6C85" w:rsidRPr="00DF6C85" w:rsidRDefault="00DF6C85" w:rsidP="00DF6C85">
            <w:r w:rsidRPr="00DF6C85">
              <w:rPr>
                <w:b/>
                <w:bCs/>
              </w:rPr>
              <w:t>E – Audit Failure</w:t>
            </w:r>
          </w:p>
        </w:tc>
        <w:tc>
          <w:tcPr>
            <w:tcW w:w="0" w:type="auto"/>
            <w:vAlign w:val="center"/>
            <w:hideMark/>
          </w:tcPr>
          <w:p w14:paraId="05BC54FD" w14:textId="77777777" w:rsidR="00DF6C85" w:rsidRPr="00DF6C85" w:rsidRDefault="00DF6C85" w:rsidP="00DF6C85">
            <w:r w:rsidRPr="00DF6C85">
              <w:t>Failed to submit required data or obstructed CEENI audit.</w:t>
            </w:r>
          </w:p>
        </w:tc>
      </w:tr>
    </w:tbl>
    <w:p w14:paraId="36D402F5" w14:textId="77777777" w:rsidR="00DF6C85" w:rsidRPr="00DF6C85" w:rsidRDefault="00DF6C85" w:rsidP="00DF6C85">
      <w:r w:rsidRPr="00DF6C85">
        <w:rPr>
          <w:rFonts w:ascii="Segoe UI Emoji" w:hAnsi="Segoe UI Emoji" w:cs="Segoe UI Emoji"/>
        </w:rPr>
        <w:t>⚠️</w:t>
      </w:r>
      <w:r w:rsidRPr="00DF6C85">
        <w:t xml:space="preserve"> </w:t>
      </w:r>
      <w:r w:rsidRPr="00DF6C85">
        <w:rPr>
          <w:b/>
          <w:bCs/>
        </w:rPr>
        <w:t>Three consecutive C, D, or E ratings</w:t>
      </w:r>
      <w:r w:rsidRPr="00DF6C85">
        <w:t xml:space="preserve"> may trigger a </w:t>
      </w:r>
      <w:r w:rsidRPr="00DF6C85">
        <w:rPr>
          <w:b/>
          <w:bCs/>
        </w:rPr>
        <w:t>leadership audit</w:t>
      </w:r>
      <w:r w:rsidRPr="00DF6C85">
        <w:t>, loss of budgetary allocation, or referral to Parliament for further action.</w:t>
      </w:r>
    </w:p>
    <w:p w14:paraId="7B00C959" w14:textId="597E42B6" w:rsidR="00001360" w:rsidRDefault="00001360">
      <w:r>
        <w:br w:type="page"/>
      </w:r>
    </w:p>
    <w:p w14:paraId="2762B05B" w14:textId="10F625FC" w:rsidR="00001360" w:rsidRPr="00A47C1B" w:rsidRDefault="00001360" w:rsidP="00001360">
      <w:pPr>
        <w:pStyle w:val="Heading2"/>
      </w:pPr>
      <w:bookmarkStart w:id="15" w:name="_Toc202632755"/>
      <w:r>
        <w:lastRenderedPageBreak/>
        <w:t xml:space="preserve">Annex B: - </w:t>
      </w:r>
      <w:r w:rsidRPr="00A47C1B">
        <w:t>Schedule: Reference Table of Ethnic Group Population Shares (2019 Census)</w:t>
      </w:r>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1505"/>
        <w:gridCol w:w="1819"/>
      </w:tblGrid>
      <w:tr w:rsidR="00001360" w:rsidRPr="00A47C1B" w14:paraId="2498D456" w14:textId="77777777" w:rsidTr="006C1AB3">
        <w:trPr>
          <w:tblHeader/>
          <w:tblCellSpacing w:w="15" w:type="dxa"/>
        </w:trPr>
        <w:tc>
          <w:tcPr>
            <w:tcW w:w="0" w:type="auto"/>
            <w:vAlign w:val="center"/>
            <w:hideMark/>
          </w:tcPr>
          <w:p w14:paraId="101469FB" w14:textId="77777777" w:rsidR="00001360" w:rsidRPr="00A47C1B" w:rsidRDefault="00001360" w:rsidP="006C1AB3">
            <w:pPr>
              <w:rPr>
                <w:b/>
                <w:bCs/>
              </w:rPr>
            </w:pPr>
            <w:r w:rsidRPr="00A47C1B">
              <w:rPr>
                <w:b/>
                <w:bCs/>
              </w:rPr>
              <w:t>Tribe</w:t>
            </w:r>
          </w:p>
        </w:tc>
        <w:tc>
          <w:tcPr>
            <w:tcW w:w="0" w:type="auto"/>
            <w:vAlign w:val="center"/>
            <w:hideMark/>
          </w:tcPr>
          <w:p w14:paraId="7A326A44" w14:textId="77777777" w:rsidR="00001360" w:rsidRPr="00A47C1B" w:rsidRDefault="00001360" w:rsidP="006C1AB3">
            <w:pPr>
              <w:rPr>
                <w:b/>
                <w:bCs/>
              </w:rPr>
            </w:pPr>
            <w:r w:rsidRPr="00A47C1B">
              <w:rPr>
                <w:b/>
                <w:bCs/>
              </w:rPr>
              <w:t>Population (%)</w:t>
            </w:r>
          </w:p>
        </w:tc>
        <w:tc>
          <w:tcPr>
            <w:tcW w:w="0" w:type="auto"/>
            <w:vAlign w:val="center"/>
            <w:hideMark/>
          </w:tcPr>
          <w:p w14:paraId="7B23B9B8" w14:textId="77777777" w:rsidR="00001360" w:rsidRPr="00A47C1B" w:rsidRDefault="00001360" w:rsidP="006C1AB3">
            <w:pPr>
              <w:rPr>
                <w:b/>
                <w:bCs/>
              </w:rPr>
            </w:pPr>
            <w:r w:rsidRPr="00A47C1B">
              <w:rPr>
                <w:b/>
                <w:bCs/>
              </w:rPr>
              <w:t>Approx. Numbers</w:t>
            </w:r>
          </w:p>
        </w:tc>
      </w:tr>
      <w:tr w:rsidR="00001360" w:rsidRPr="00A47C1B" w14:paraId="6362BD49" w14:textId="77777777" w:rsidTr="006C1AB3">
        <w:trPr>
          <w:tblCellSpacing w:w="15" w:type="dxa"/>
        </w:trPr>
        <w:tc>
          <w:tcPr>
            <w:tcW w:w="0" w:type="auto"/>
            <w:vAlign w:val="center"/>
            <w:hideMark/>
          </w:tcPr>
          <w:p w14:paraId="1616B0E6" w14:textId="77777777" w:rsidR="00001360" w:rsidRPr="00A47C1B" w:rsidRDefault="00001360" w:rsidP="006C1AB3">
            <w:r w:rsidRPr="00A47C1B">
              <w:t>Kikuyu</w:t>
            </w:r>
          </w:p>
        </w:tc>
        <w:tc>
          <w:tcPr>
            <w:tcW w:w="0" w:type="auto"/>
            <w:vAlign w:val="center"/>
            <w:hideMark/>
          </w:tcPr>
          <w:p w14:paraId="7F8D303B" w14:textId="77777777" w:rsidR="00001360" w:rsidRPr="00A47C1B" w:rsidRDefault="00001360" w:rsidP="006C1AB3">
            <w:r w:rsidRPr="00A47C1B">
              <w:t>17.1%</w:t>
            </w:r>
          </w:p>
        </w:tc>
        <w:tc>
          <w:tcPr>
            <w:tcW w:w="0" w:type="auto"/>
            <w:vAlign w:val="center"/>
            <w:hideMark/>
          </w:tcPr>
          <w:p w14:paraId="66804EFA" w14:textId="77777777" w:rsidR="00001360" w:rsidRPr="00A47C1B" w:rsidRDefault="00001360" w:rsidP="006C1AB3">
            <w:r w:rsidRPr="00A47C1B">
              <w:t>~8.1 million</w:t>
            </w:r>
          </w:p>
        </w:tc>
      </w:tr>
      <w:tr w:rsidR="00001360" w:rsidRPr="00A47C1B" w14:paraId="484A6F42" w14:textId="77777777" w:rsidTr="006C1AB3">
        <w:trPr>
          <w:tblCellSpacing w:w="15" w:type="dxa"/>
        </w:trPr>
        <w:tc>
          <w:tcPr>
            <w:tcW w:w="0" w:type="auto"/>
            <w:vAlign w:val="center"/>
            <w:hideMark/>
          </w:tcPr>
          <w:p w14:paraId="5E048C02" w14:textId="77777777" w:rsidR="00001360" w:rsidRPr="00A47C1B" w:rsidRDefault="00001360" w:rsidP="006C1AB3">
            <w:r w:rsidRPr="00A47C1B">
              <w:t>Luhya</w:t>
            </w:r>
          </w:p>
        </w:tc>
        <w:tc>
          <w:tcPr>
            <w:tcW w:w="0" w:type="auto"/>
            <w:vAlign w:val="center"/>
            <w:hideMark/>
          </w:tcPr>
          <w:p w14:paraId="6F7C178B" w14:textId="77777777" w:rsidR="00001360" w:rsidRPr="00A47C1B" w:rsidRDefault="00001360" w:rsidP="006C1AB3">
            <w:r w:rsidRPr="00A47C1B">
              <w:t>14.3%</w:t>
            </w:r>
          </w:p>
        </w:tc>
        <w:tc>
          <w:tcPr>
            <w:tcW w:w="0" w:type="auto"/>
            <w:vAlign w:val="center"/>
            <w:hideMark/>
          </w:tcPr>
          <w:p w14:paraId="06A02224" w14:textId="77777777" w:rsidR="00001360" w:rsidRPr="00A47C1B" w:rsidRDefault="00001360" w:rsidP="006C1AB3">
            <w:r w:rsidRPr="00A47C1B">
              <w:t>~6.7 million</w:t>
            </w:r>
          </w:p>
        </w:tc>
      </w:tr>
      <w:tr w:rsidR="00001360" w:rsidRPr="00A47C1B" w14:paraId="5E4DF264" w14:textId="77777777" w:rsidTr="006C1AB3">
        <w:trPr>
          <w:tblCellSpacing w:w="15" w:type="dxa"/>
        </w:trPr>
        <w:tc>
          <w:tcPr>
            <w:tcW w:w="0" w:type="auto"/>
            <w:vAlign w:val="center"/>
            <w:hideMark/>
          </w:tcPr>
          <w:p w14:paraId="6A9B08F2" w14:textId="77777777" w:rsidR="00001360" w:rsidRPr="00A47C1B" w:rsidRDefault="00001360" w:rsidP="006C1AB3">
            <w:r w:rsidRPr="00A47C1B">
              <w:t>Kalenjin</w:t>
            </w:r>
          </w:p>
        </w:tc>
        <w:tc>
          <w:tcPr>
            <w:tcW w:w="0" w:type="auto"/>
            <w:vAlign w:val="center"/>
            <w:hideMark/>
          </w:tcPr>
          <w:p w14:paraId="58B3212D" w14:textId="77777777" w:rsidR="00001360" w:rsidRPr="00A47C1B" w:rsidRDefault="00001360" w:rsidP="006C1AB3">
            <w:r w:rsidRPr="00A47C1B">
              <w:t>13.4%</w:t>
            </w:r>
          </w:p>
        </w:tc>
        <w:tc>
          <w:tcPr>
            <w:tcW w:w="0" w:type="auto"/>
            <w:vAlign w:val="center"/>
            <w:hideMark/>
          </w:tcPr>
          <w:p w14:paraId="6B0C9F73" w14:textId="77777777" w:rsidR="00001360" w:rsidRPr="00A47C1B" w:rsidRDefault="00001360" w:rsidP="006C1AB3">
            <w:r w:rsidRPr="00A47C1B">
              <w:t>~6.3 million</w:t>
            </w:r>
          </w:p>
        </w:tc>
      </w:tr>
      <w:tr w:rsidR="00001360" w:rsidRPr="00A47C1B" w14:paraId="0E3D3092" w14:textId="77777777" w:rsidTr="006C1AB3">
        <w:trPr>
          <w:tblCellSpacing w:w="15" w:type="dxa"/>
        </w:trPr>
        <w:tc>
          <w:tcPr>
            <w:tcW w:w="0" w:type="auto"/>
            <w:vAlign w:val="center"/>
            <w:hideMark/>
          </w:tcPr>
          <w:p w14:paraId="6F58CAA8" w14:textId="77777777" w:rsidR="00001360" w:rsidRPr="00A47C1B" w:rsidRDefault="00001360" w:rsidP="006C1AB3">
            <w:r w:rsidRPr="00A47C1B">
              <w:t>Luo</w:t>
            </w:r>
          </w:p>
        </w:tc>
        <w:tc>
          <w:tcPr>
            <w:tcW w:w="0" w:type="auto"/>
            <w:vAlign w:val="center"/>
            <w:hideMark/>
          </w:tcPr>
          <w:p w14:paraId="3C637130" w14:textId="77777777" w:rsidR="00001360" w:rsidRPr="00A47C1B" w:rsidRDefault="00001360" w:rsidP="006C1AB3">
            <w:r w:rsidRPr="00A47C1B">
              <w:t>10.7%</w:t>
            </w:r>
          </w:p>
        </w:tc>
        <w:tc>
          <w:tcPr>
            <w:tcW w:w="0" w:type="auto"/>
            <w:vAlign w:val="center"/>
            <w:hideMark/>
          </w:tcPr>
          <w:p w14:paraId="4DFA167A" w14:textId="77777777" w:rsidR="00001360" w:rsidRPr="00A47C1B" w:rsidRDefault="00001360" w:rsidP="006C1AB3">
            <w:r w:rsidRPr="00A47C1B">
              <w:t>~5.0 million</w:t>
            </w:r>
          </w:p>
        </w:tc>
      </w:tr>
      <w:tr w:rsidR="00001360" w:rsidRPr="00A47C1B" w14:paraId="75644CFA" w14:textId="77777777" w:rsidTr="006C1AB3">
        <w:trPr>
          <w:tblCellSpacing w:w="15" w:type="dxa"/>
        </w:trPr>
        <w:tc>
          <w:tcPr>
            <w:tcW w:w="0" w:type="auto"/>
            <w:vAlign w:val="center"/>
            <w:hideMark/>
          </w:tcPr>
          <w:p w14:paraId="5C7D1A3E" w14:textId="77777777" w:rsidR="00001360" w:rsidRPr="00A47C1B" w:rsidRDefault="00001360" w:rsidP="006C1AB3">
            <w:r w:rsidRPr="00A47C1B">
              <w:t>Kamba</w:t>
            </w:r>
          </w:p>
        </w:tc>
        <w:tc>
          <w:tcPr>
            <w:tcW w:w="0" w:type="auto"/>
            <w:vAlign w:val="center"/>
            <w:hideMark/>
          </w:tcPr>
          <w:p w14:paraId="4664A81F" w14:textId="77777777" w:rsidR="00001360" w:rsidRPr="00A47C1B" w:rsidRDefault="00001360" w:rsidP="006C1AB3">
            <w:r w:rsidRPr="00A47C1B">
              <w:t>9.8%</w:t>
            </w:r>
          </w:p>
        </w:tc>
        <w:tc>
          <w:tcPr>
            <w:tcW w:w="0" w:type="auto"/>
            <w:vAlign w:val="center"/>
            <w:hideMark/>
          </w:tcPr>
          <w:p w14:paraId="1E9280CF" w14:textId="77777777" w:rsidR="00001360" w:rsidRPr="00A47C1B" w:rsidRDefault="00001360" w:rsidP="006C1AB3">
            <w:r w:rsidRPr="00A47C1B">
              <w:t>~4.6 million</w:t>
            </w:r>
          </w:p>
        </w:tc>
      </w:tr>
      <w:tr w:rsidR="00001360" w:rsidRPr="00A47C1B" w14:paraId="609E95D3" w14:textId="77777777" w:rsidTr="006C1AB3">
        <w:trPr>
          <w:tblCellSpacing w:w="15" w:type="dxa"/>
        </w:trPr>
        <w:tc>
          <w:tcPr>
            <w:tcW w:w="0" w:type="auto"/>
            <w:vAlign w:val="center"/>
            <w:hideMark/>
          </w:tcPr>
          <w:p w14:paraId="23EA1379" w14:textId="77777777" w:rsidR="00001360" w:rsidRPr="00A47C1B" w:rsidRDefault="00001360" w:rsidP="006C1AB3">
            <w:r w:rsidRPr="00A47C1B">
              <w:t>Somali</w:t>
            </w:r>
          </w:p>
        </w:tc>
        <w:tc>
          <w:tcPr>
            <w:tcW w:w="0" w:type="auto"/>
            <w:vAlign w:val="center"/>
            <w:hideMark/>
          </w:tcPr>
          <w:p w14:paraId="65F9DE26" w14:textId="77777777" w:rsidR="00001360" w:rsidRPr="00A47C1B" w:rsidRDefault="00001360" w:rsidP="006C1AB3">
            <w:r w:rsidRPr="00A47C1B">
              <w:t>5.8%</w:t>
            </w:r>
          </w:p>
        </w:tc>
        <w:tc>
          <w:tcPr>
            <w:tcW w:w="0" w:type="auto"/>
            <w:vAlign w:val="center"/>
            <w:hideMark/>
          </w:tcPr>
          <w:p w14:paraId="3DCC45CD" w14:textId="77777777" w:rsidR="00001360" w:rsidRPr="00A47C1B" w:rsidRDefault="00001360" w:rsidP="006C1AB3">
            <w:r w:rsidRPr="00A47C1B">
              <w:t>~2.7 million</w:t>
            </w:r>
          </w:p>
        </w:tc>
      </w:tr>
      <w:tr w:rsidR="00001360" w:rsidRPr="00A47C1B" w14:paraId="3E756497" w14:textId="77777777" w:rsidTr="006C1AB3">
        <w:trPr>
          <w:tblCellSpacing w:w="15" w:type="dxa"/>
        </w:trPr>
        <w:tc>
          <w:tcPr>
            <w:tcW w:w="0" w:type="auto"/>
            <w:vAlign w:val="center"/>
            <w:hideMark/>
          </w:tcPr>
          <w:p w14:paraId="3EE69D03" w14:textId="77777777" w:rsidR="00001360" w:rsidRPr="00A47C1B" w:rsidRDefault="00001360" w:rsidP="006C1AB3">
            <w:r w:rsidRPr="00A47C1B">
              <w:t>Kisii</w:t>
            </w:r>
          </w:p>
        </w:tc>
        <w:tc>
          <w:tcPr>
            <w:tcW w:w="0" w:type="auto"/>
            <w:vAlign w:val="center"/>
            <w:hideMark/>
          </w:tcPr>
          <w:p w14:paraId="3022625E" w14:textId="77777777" w:rsidR="00001360" w:rsidRPr="00A47C1B" w:rsidRDefault="00001360" w:rsidP="006C1AB3">
            <w:r w:rsidRPr="00A47C1B">
              <w:t>5.7%</w:t>
            </w:r>
          </w:p>
        </w:tc>
        <w:tc>
          <w:tcPr>
            <w:tcW w:w="0" w:type="auto"/>
            <w:vAlign w:val="center"/>
            <w:hideMark/>
          </w:tcPr>
          <w:p w14:paraId="322487AA" w14:textId="77777777" w:rsidR="00001360" w:rsidRPr="00A47C1B" w:rsidRDefault="00001360" w:rsidP="006C1AB3">
            <w:r w:rsidRPr="00A47C1B">
              <w:t>~2.6 million</w:t>
            </w:r>
          </w:p>
        </w:tc>
      </w:tr>
      <w:tr w:rsidR="00001360" w:rsidRPr="00A47C1B" w14:paraId="61196620" w14:textId="77777777" w:rsidTr="006C1AB3">
        <w:trPr>
          <w:tblCellSpacing w:w="15" w:type="dxa"/>
        </w:trPr>
        <w:tc>
          <w:tcPr>
            <w:tcW w:w="0" w:type="auto"/>
            <w:vAlign w:val="center"/>
            <w:hideMark/>
          </w:tcPr>
          <w:p w14:paraId="38A0DAE9" w14:textId="77777777" w:rsidR="00001360" w:rsidRPr="00A47C1B" w:rsidRDefault="00001360" w:rsidP="006C1AB3">
            <w:r w:rsidRPr="00A47C1B">
              <w:t>Mijikenda</w:t>
            </w:r>
          </w:p>
        </w:tc>
        <w:tc>
          <w:tcPr>
            <w:tcW w:w="0" w:type="auto"/>
            <w:vAlign w:val="center"/>
            <w:hideMark/>
          </w:tcPr>
          <w:p w14:paraId="0DFADF42" w14:textId="77777777" w:rsidR="00001360" w:rsidRPr="00A47C1B" w:rsidRDefault="00001360" w:rsidP="006C1AB3">
            <w:r w:rsidRPr="00A47C1B">
              <w:t>5.3%</w:t>
            </w:r>
          </w:p>
        </w:tc>
        <w:tc>
          <w:tcPr>
            <w:tcW w:w="0" w:type="auto"/>
            <w:vAlign w:val="center"/>
            <w:hideMark/>
          </w:tcPr>
          <w:p w14:paraId="6C53ACCF" w14:textId="77777777" w:rsidR="00001360" w:rsidRPr="00A47C1B" w:rsidRDefault="00001360" w:rsidP="006C1AB3">
            <w:r w:rsidRPr="00A47C1B">
              <w:t>~2.5 million</w:t>
            </w:r>
          </w:p>
        </w:tc>
      </w:tr>
      <w:tr w:rsidR="00001360" w:rsidRPr="00A47C1B" w14:paraId="48317AAD" w14:textId="77777777" w:rsidTr="006C1AB3">
        <w:trPr>
          <w:tblCellSpacing w:w="15" w:type="dxa"/>
        </w:trPr>
        <w:tc>
          <w:tcPr>
            <w:tcW w:w="0" w:type="auto"/>
            <w:vAlign w:val="center"/>
            <w:hideMark/>
          </w:tcPr>
          <w:p w14:paraId="266FCD3E" w14:textId="77777777" w:rsidR="00001360" w:rsidRPr="00A47C1B" w:rsidRDefault="00001360" w:rsidP="006C1AB3">
            <w:r w:rsidRPr="00A47C1B">
              <w:t>Meru</w:t>
            </w:r>
          </w:p>
        </w:tc>
        <w:tc>
          <w:tcPr>
            <w:tcW w:w="0" w:type="auto"/>
            <w:vAlign w:val="center"/>
            <w:hideMark/>
          </w:tcPr>
          <w:p w14:paraId="2A21816A" w14:textId="77777777" w:rsidR="00001360" w:rsidRPr="00A47C1B" w:rsidRDefault="00001360" w:rsidP="006C1AB3">
            <w:r w:rsidRPr="00A47C1B">
              <w:t>4.2%</w:t>
            </w:r>
          </w:p>
        </w:tc>
        <w:tc>
          <w:tcPr>
            <w:tcW w:w="0" w:type="auto"/>
            <w:vAlign w:val="center"/>
            <w:hideMark/>
          </w:tcPr>
          <w:p w14:paraId="626E9AB2" w14:textId="77777777" w:rsidR="00001360" w:rsidRPr="00A47C1B" w:rsidRDefault="00001360" w:rsidP="006C1AB3">
            <w:r w:rsidRPr="00A47C1B">
              <w:t>~2.0 million</w:t>
            </w:r>
          </w:p>
        </w:tc>
      </w:tr>
      <w:tr w:rsidR="00001360" w:rsidRPr="00A47C1B" w14:paraId="210BFCCB" w14:textId="77777777" w:rsidTr="006C1AB3">
        <w:trPr>
          <w:tblCellSpacing w:w="15" w:type="dxa"/>
        </w:trPr>
        <w:tc>
          <w:tcPr>
            <w:tcW w:w="0" w:type="auto"/>
            <w:vAlign w:val="center"/>
            <w:hideMark/>
          </w:tcPr>
          <w:p w14:paraId="2D3C1AC9" w14:textId="77777777" w:rsidR="00001360" w:rsidRPr="00A47C1B" w:rsidRDefault="00001360" w:rsidP="006C1AB3">
            <w:r w:rsidRPr="00A47C1B">
              <w:t>Turkana</w:t>
            </w:r>
          </w:p>
        </w:tc>
        <w:tc>
          <w:tcPr>
            <w:tcW w:w="0" w:type="auto"/>
            <w:vAlign w:val="center"/>
            <w:hideMark/>
          </w:tcPr>
          <w:p w14:paraId="75DC65FC" w14:textId="77777777" w:rsidR="00001360" w:rsidRPr="00A47C1B" w:rsidRDefault="00001360" w:rsidP="006C1AB3">
            <w:r w:rsidRPr="00A47C1B">
              <w:t>2.6%</w:t>
            </w:r>
          </w:p>
        </w:tc>
        <w:tc>
          <w:tcPr>
            <w:tcW w:w="0" w:type="auto"/>
            <w:vAlign w:val="center"/>
            <w:hideMark/>
          </w:tcPr>
          <w:p w14:paraId="23417401" w14:textId="77777777" w:rsidR="00001360" w:rsidRPr="00A47C1B" w:rsidRDefault="00001360" w:rsidP="006C1AB3">
            <w:r w:rsidRPr="00A47C1B">
              <w:t>~1.2 million</w:t>
            </w:r>
          </w:p>
        </w:tc>
      </w:tr>
      <w:tr w:rsidR="00001360" w:rsidRPr="00A47C1B" w14:paraId="5FD4450F" w14:textId="77777777" w:rsidTr="006C1AB3">
        <w:trPr>
          <w:tblCellSpacing w:w="15" w:type="dxa"/>
        </w:trPr>
        <w:tc>
          <w:tcPr>
            <w:tcW w:w="0" w:type="auto"/>
            <w:vAlign w:val="center"/>
            <w:hideMark/>
          </w:tcPr>
          <w:p w14:paraId="63EDB496" w14:textId="77777777" w:rsidR="00001360" w:rsidRPr="00A47C1B" w:rsidRDefault="00001360" w:rsidP="006C1AB3">
            <w:r w:rsidRPr="00A47C1B">
              <w:t>Maasai</w:t>
            </w:r>
          </w:p>
        </w:tc>
        <w:tc>
          <w:tcPr>
            <w:tcW w:w="0" w:type="auto"/>
            <w:vAlign w:val="center"/>
            <w:hideMark/>
          </w:tcPr>
          <w:p w14:paraId="3135CB37" w14:textId="77777777" w:rsidR="00001360" w:rsidRPr="00A47C1B" w:rsidRDefault="00001360" w:rsidP="006C1AB3">
            <w:r w:rsidRPr="00A47C1B">
              <w:t>2.2%</w:t>
            </w:r>
          </w:p>
        </w:tc>
        <w:tc>
          <w:tcPr>
            <w:tcW w:w="0" w:type="auto"/>
            <w:vAlign w:val="center"/>
            <w:hideMark/>
          </w:tcPr>
          <w:p w14:paraId="77C1C5F5" w14:textId="77777777" w:rsidR="00001360" w:rsidRPr="00A47C1B" w:rsidRDefault="00001360" w:rsidP="006C1AB3">
            <w:r w:rsidRPr="00A47C1B">
              <w:t>~1.0 million</w:t>
            </w:r>
          </w:p>
        </w:tc>
      </w:tr>
      <w:tr w:rsidR="00001360" w:rsidRPr="00A47C1B" w14:paraId="4BB98FAC" w14:textId="77777777" w:rsidTr="006C1AB3">
        <w:trPr>
          <w:tblCellSpacing w:w="15" w:type="dxa"/>
        </w:trPr>
        <w:tc>
          <w:tcPr>
            <w:tcW w:w="0" w:type="auto"/>
            <w:vAlign w:val="center"/>
            <w:hideMark/>
          </w:tcPr>
          <w:p w14:paraId="6D6A306E" w14:textId="77777777" w:rsidR="00001360" w:rsidRPr="00A47C1B" w:rsidRDefault="00001360" w:rsidP="006C1AB3">
            <w:r w:rsidRPr="00A47C1B">
              <w:t>Others (30+)</w:t>
            </w:r>
          </w:p>
        </w:tc>
        <w:tc>
          <w:tcPr>
            <w:tcW w:w="0" w:type="auto"/>
            <w:vAlign w:val="center"/>
            <w:hideMark/>
          </w:tcPr>
          <w:p w14:paraId="1DD0DFF4" w14:textId="77777777" w:rsidR="00001360" w:rsidRPr="00A47C1B" w:rsidRDefault="00001360" w:rsidP="006C1AB3">
            <w:r w:rsidRPr="00A47C1B">
              <w:t>8.9%</w:t>
            </w:r>
          </w:p>
        </w:tc>
        <w:tc>
          <w:tcPr>
            <w:tcW w:w="0" w:type="auto"/>
            <w:vAlign w:val="center"/>
            <w:hideMark/>
          </w:tcPr>
          <w:p w14:paraId="712C4E02" w14:textId="77777777" w:rsidR="00001360" w:rsidRPr="00A47C1B" w:rsidRDefault="00001360" w:rsidP="006C1AB3">
            <w:r w:rsidRPr="00A47C1B">
              <w:t>~4.2 million</w:t>
            </w:r>
          </w:p>
        </w:tc>
      </w:tr>
    </w:tbl>
    <w:p w14:paraId="28C99785" w14:textId="77777777" w:rsidR="00001360" w:rsidRPr="00A47C1B" w:rsidRDefault="00001360" w:rsidP="00001360">
      <w:r w:rsidRPr="00A47C1B">
        <w:rPr>
          <w:b/>
          <w:bCs/>
        </w:rPr>
        <w:t>Note</w:t>
      </w:r>
      <w:r w:rsidRPr="00A47C1B">
        <w:t xml:space="preserve">: This table is for reference purposes only. Official quotas shall be based on the most recent census data </w:t>
      </w:r>
      <w:proofErr w:type="spellStart"/>
      <w:r w:rsidRPr="00A47C1B">
        <w:t>gazetted</w:t>
      </w:r>
      <w:proofErr w:type="spellEnd"/>
      <w:r w:rsidRPr="00A47C1B">
        <w:t xml:space="preserve"> by the </w:t>
      </w:r>
      <w:r w:rsidRPr="00A47C1B">
        <w:rPr>
          <w:b/>
          <w:bCs/>
        </w:rPr>
        <w:t>Kenya National Bureau of Statistics (KNBS)</w:t>
      </w:r>
      <w:r w:rsidRPr="00A47C1B">
        <w:t>.</w:t>
      </w:r>
    </w:p>
    <w:p w14:paraId="5BD221AC" w14:textId="77777777" w:rsidR="00A77268" w:rsidRPr="00A77268" w:rsidRDefault="00A77268" w:rsidP="00A77268"/>
    <w:sectPr w:rsidR="00A77268" w:rsidRPr="00A7726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964CA" w14:textId="77777777" w:rsidR="00A44F87" w:rsidRDefault="00A44F87" w:rsidP="003309E5">
      <w:pPr>
        <w:spacing w:after="0" w:line="240" w:lineRule="auto"/>
      </w:pPr>
      <w:r>
        <w:separator/>
      </w:r>
    </w:p>
  </w:endnote>
  <w:endnote w:type="continuationSeparator" w:id="0">
    <w:p w14:paraId="272116F7" w14:textId="77777777" w:rsidR="00A44F87" w:rsidRDefault="00A44F87" w:rsidP="0033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6500330"/>
      <w:docPartObj>
        <w:docPartGallery w:val="Page Numbers (Bottom of Page)"/>
        <w:docPartUnique/>
      </w:docPartObj>
    </w:sdtPr>
    <w:sdtEndPr>
      <w:rPr>
        <w:noProof/>
      </w:rPr>
    </w:sdtEndPr>
    <w:sdtContent>
      <w:p w14:paraId="1D5AA7BC" w14:textId="08A5A971" w:rsidR="003309E5" w:rsidRDefault="003309E5">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EB05DE9" w14:textId="77777777" w:rsidR="003309E5" w:rsidRDefault="00330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64600" w14:textId="77777777" w:rsidR="00A44F87" w:rsidRDefault="00A44F87" w:rsidP="003309E5">
      <w:pPr>
        <w:spacing w:after="0" w:line="240" w:lineRule="auto"/>
      </w:pPr>
      <w:r>
        <w:separator/>
      </w:r>
    </w:p>
  </w:footnote>
  <w:footnote w:type="continuationSeparator" w:id="0">
    <w:p w14:paraId="42E57887" w14:textId="77777777" w:rsidR="00A44F87" w:rsidRDefault="00A44F87" w:rsidP="0033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344"/>
    <w:multiLevelType w:val="hybridMultilevel"/>
    <w:tmpl w:val="A726C7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2A26"/>
    <w:multiLevelType w:val="multilevel"/>
    <w:tmpl w:val="A95482D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56E7F"/>
    <w:multiLevelType w:val="hybridMultilevel"/>
    <w:tmpl w:val="425AE52C"/>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7D24325"/>
    <w:multiLevelType w:val="multilevel"/>
    <w:tmpl w:val="54F4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E5A16"/>
    <w:multiLevelType w:val="hybridMultilevel"/>
    <w:tmpl w:val="6DB42D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9B8"/>
    <w:multiLevelType w:val="multilevel"/>
    <w:tmpl w:val="54F47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A24D1"/>
    <w:multiLevelType w:val="multilevel"/>
    <w:tmpl w:val="1C00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274B5"/>
    <w:multiLevelType w:val="hybridMultilevel"/>
    <w:tmpl w:val="21121D3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4D29C9"/>
    <w:multiLevelType w:val="hybridMultilevel"/>
    <w:tmpl w:val="4BFC8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E321D"/>
    <w:multiLevelType w:val="hybridMultilevel"/>
    <w:tmpl w:val="8C50722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5218F8"/>
    <w:multiLevelType w:val="multilevel"/>
    <w:tmpl w:val="54F4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834AC"/>
    <w:multiLevelType w:val="multilevel"/>
    <w:tmpl w:val="54F478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67848"/>
    <w:multiLevelType w:val="multilevel"/>
    <w:tmpl w:val="DB8E8EA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81EF8"/>
    <w:multiLevelType w:val="multilevel"/>
    <w:tmpl w:val="75301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FE0D1A"/>
    <w:multiLevelType w:val="multilevel"/>
    <w:tmpl w:val="936895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DF25B4E"/>
    <w:multiLevelType w:val="hybridMultilevel"/>
    <w:tmpl w:val="55C847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6494D"/>
    <w:multiLevelType w:val="multilevel"/>
    <w:tmpl w:val="54F4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B44B0"/>
    <w:multiLevelType w:val="multilevel"/>
    <w:tmpl w:val="13CAAFD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134119"/>
    <w:multiLevelType w:val="multilevel"/>
    <w:tmpl w:val="54F47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EF05F8"/>
    <w:multiLevelType w:val="multilevel"/>
    <w:tmpl w:val="50D8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90549"/>
    <w:multiLevelType w:val="hybridMultilevel"/>
    <w:tmpl w:val="CAF0D3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D77490"/>
    <w:multiLevelType w:val="multilevel"/>
    <w:tmpl w:val="637264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63D45"/>
    <w:multiLevelType w:val="hybridMultilevel"/>
    <w:tmpl w:val="9894DC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A95A23"/>
    <w:multiLevelType w:val="hybridMultilevel"/>
    <w:tmpl w:val="6818E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B119C1"/>
    <w:multiLevelType w:val="hybridMultilevel"/>
    <w:tmpl w:val="8FC4C3E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2E19D8"/>
    <w:multiLevelType w:val="hybridMultilevel"/>
    <w:tmpl w:val="6DA618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7E4709"/>
    <w:multiLevelType w:val="multilevel"/>
    <w:tmpl w:val="C68C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A4672F"/>
    <w:multiLevelType w:val="multilevel"/>
    <w:tmpl w:val="9A8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F4F52"/>
    <w:multiLevelType w:val="hybridMultilevel"/>
    <w:tmpl w:val="9C6C48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3BB632A"/>
    <w:multiLevelType w:val="hybridMultilevel"/>
    <w:tmpl w:val="B44093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5B46CD"/>
    <w:multiLevelType w:val="multilevel"/>
    <w:tmpl w:val="7B42285E"/>
    <w:lvl w:ilvl="0">
      <w:start w:val="1"/>
      <w:numFmt w:val="decimal"/>
      <w:lvlText w:val="%1."/>
      <w:lvlJc w:val="left"/>
      <w:pPr>
        <w:tabs>
          <w:tab w:val="num" w:pos="720"/>
        </w:tabs>
        <w:ind w:left="720" w:hanging="360"/>
      </w:pPr>
    </w:lvl>
    <w:lvl w:ilvl="1">
      <w:start w:val="1"/>
      <w:numFmt w:val="lowerLetter"/>
      <w:lvlText w:val="%2)"/>
      <w:lvlJc w:val="left"/>
      <w:pPr>
        <w:ind w:left="720" w:hanging="360"/>
      </w:p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C061E9"/>
    <w:multiLevelType w:val="multilevel"/>
    <w:tmpl w:val="54F4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051063"/>
    <w:multiLevelType w:val="hybridMultilevel"/>
    <w:tmpl w:val="950C9A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935451"/>
    <w:multiLevelType w:val="hybridMultilevel"/>
    <w:tmpl w:val="50CCF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33368F"/>
    <w:multiLevelType w:val="multilevel"/>
    <w:tmpl w:val="7762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ED55F7"/>
    <w:multiLevelType w:val="hybridMultilevel"/>
    <w:tmpl w:val="553419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594C9E"/>
    <w:multiLevelType w:val="hybridMultilevel"/>
    <w:tmpl w:val="027807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550FD3"/>
    <w:multiLevelType w:val="hybridMultilevel"/>
    <w:tmpl w:val="8E4C6C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173A7"/>
    <w:multiLevelType w:val="hybridMultilevel"/>
    <w:tmpl w:val="A5EE2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34C5F"/>
    <w:multiLevelType w:val="hybridMultilevel"/>
    <w:tmpl w:val="5964AC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9D7B0E"/>
    <w:multiLevelType w:val="hybridMultilevel"/>
    <w:tmpl w:val="E9446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E00478"/>
    <w:multiLevelType w:val="multilevel"/>
    <w:tmpl w:val="54F4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152374"/>
    <w:multiLevelType w:val="multilevel"/>
    <w:tmpl w:val="0A862B92"/>
    <w:lvl w:ilvl="0">
      <w:start w:val="1"/>
      <w:numFmt w:val="decimal"/>
      <w:lvlText w:val="%1."/>
      <w:lvlJc w:val="left"/>
      <w:pPr>
        <w:tabs>
          <w:tab w:val="num" w:pos="720"/>
        </w:tabs>
        <w:ind w:left="720" w:hanging="360"/>
      </w:pPr>
    </w:lvl>
    <w:lvl w:ilvl="1">
      <w:start w:val="1"/>
      <w:numFmt w:val="lowerLetter"/>
      <w:lvlText w:val="%2)"/>
      <w:lvlJc w:val="left"/>
      <w:pPr>
        <w:ind w:left="720" w:hanging="360"/>
      </w:p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60674A"/>
    <w:multiLevelType w:val="multilevel"/>
    <w:tmpl w:val="94D6429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896BDF"/>
    <w:multiLevelType w:val="multilevel"/>
    <w:tmpl w:val="4DC4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546586"/>
    <w:multiLevelType w:val="multilevel"/>
    <w:tmpl w:val="38E6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970090">
    <w:abstractNumId w:val="34"/>
  </w:num>
  <w:num w:numId="2" w16cid:durableId="608977787">
    <w:abstractNumId w:val="19"/>
  </w:num>
  <w:num w:numId="3" w16cid:durableId="17202563">
    <w:abstractNumId w:val="36"/>
  </w:num>
  <w:num w:numId="4" w16cid:durableId="2036073043">
    <w:abstractNumId w:val="29"/>
  </w:num>
  <w:num w:numId="5" w16cid:durableId="947006381">
    <w:abstractNumId w:val="26"/>
  </w:num>
  <w:num w:numId="6" w16cid:durableId="855537065">
    <w:abstractNumId w:val="45"/>
  </w:num>
  <w:num w:numId="7" w16cid:durableId="991448167">
    <w:abstractNumId w:val="6"/>
  </w:num>
  <w:num w:numId="8" w16cid:durableId="901212660">
    <w:abstractNumId w:val="27"/>
  </w:num>
  <w:num w:numId="9" w16cid:durableId="2086761477">
    <w:abstractNumId w:val="20"/>
  </w:num>
  <w:num w:numId="10" w16cid:durableId="923226541">
    <w:abstractNumId w:val="33"/>
  </w:num>
  <w:num w:numId="11" w16cid:durableId="1143082602">
    <w:abstractNumId w:val="2"/>
  </w:num>
  <w:num w:numId="12" w16cid:durableId="1200511568">
    <w:abstractNumId w:val="44"/>
  </w:num>
  <w:num w:numId="13" w16cid:durableId="729110084">
    <w:abstractNumId w:val="14"/>
  </w:num>
  <w:num w:numId="14" w16cid:durableId="1208487499">
    <w:abstractNumId w:val="13"/>
  </w:num>
  <w:num w:numId="15" w16cid:durableId="9767561">
    <w:abstractNumId w:val="32"/>
  </w:num>
  <w:num w:numId="16" w16cid:durableId="22903640">
    <w:abstractNumId w:val="8"/>
  </w:num>
  <w:num w:numId="17" w16cid:durableId="698775518">
    <w:abstractNumId w:val="23"/>
  </w:num>
  <w:num w:numId="18" w16cid:durableId="186599827">
    <w:abstractNumId w:val="38"/>
  </w:num>
  <w:num w:numId="19" w16cid:durableId="961880000">
    <w:abstractNumId w:val="12"/>
  </w:num>
  <w:num w:numId="20" w16cid:durableId="1486315550">
    <w:abstractNumId w:val="15"/>
  </w:num>
  <w:num w:numId="21" w16cid:durableId="1257710963">
    <w:abstractNumId w:val="16"/>
  </w:num>
  <w:num w:numId="22" w16cid:durableId="1407872938">
    <w:abstractNumId w:val="7"/>
  </w:num>
  <w:num w:numId="23" w16cid:durableId="470904896">
    <w:abstractNumId w:val="9"/>
  </w:num>
  <w:num w:numId="24" w16cid:durableId="331956409">
    <w:abstractNumId w:val="24"/>
  </w:num>
  <w:num w:numId="25" w16cid:durableId="111558724">
    <w:abstractNumId w:val="21"/>
  </w:num>
  <w:num w:numId="26" w16cid:durableId="1084111532">
    <w:abstractNumId w:val="42"/>
  </w:num>
  <w:num w:numId="27" w16cid:durableId="2031448106">
    <w:abstractNumId w:val="30"/>
  </w:num>
  <w:num w:numId="28" w16cid:durableId="535503285">
    <w:abstractNumId w:val="1"/>
  </w:num>
  <w:num w:numId="29" w16cid:durableId="1216503540">
    <w:abstractNumId w:val="17"/>
  </w:num>
  <w:num w:numId="30" w16cid:durableId="1237664083">
    <w:abstractNumId w:val="43"/>
  </w:num>
  <w:num w:numId="31" w16cid:durableId="779763134">
    <w:abstractNumId w:val="41"/>
  </w:num>
  <w:num w:numId="32" w16cid:durableId="232199945">
    <w:abstractNumId w:val="35"/>
  </w:num>
  <w:num w:numId="33" w16cid:durableId="1031956543">
    <w:abstractNumId w:val="40"/>
  </w:num>
  <w:num w:numId="34" w16cid:durableId="1574586851">
    <w:abstractNumId w:val="22"/>
  </w:num>
  <w:num w:numId="35" w16cid:durableId="1142887960">
    <w:abstractNumId w:val="0"/>
  </w:num>
  <w:num w:numId="36" w16cid:durableId="1927611690">
    <w:abstractNumId w:val="28"/>
  </w:num>
  <w:num w:numId="37" w16cid:durableId="930627692">
    <w:abstractNumId w:val="4"/>
  </w:num>
  <w:num w:numId="38" w16cid:durableId="603852672">
    <w:abstractNumId w:val="3"/>
  </w:num>
  <w:num w:numId="39" w16cid:durableId="432895620">
    <w:abstractNumId w:val="39"/>
  </w:num>
  <w:num w:numId="40" w16cid:durableId="124738671">
    <w:abstractNumId w:val="37"/>
  </w:num>
  <w:num w:numId="41" w16cid:durableId="1524127002">
    <w:abstractNumId w:val="11"/>
  </w:num>
  <w:num w:numId="42" w16cid:durableId="465509382">
    <w:abstractNumId w:val="25"/>
  </w:num>
  <w:num w:numId="43" w16cid:durableId="127288363">
    <w:abstractNumId w:val="10"/>
  </w:num>
  <w:num w:numId="44" w16cid:durableId="2130852221">
    <w:abstractNumId w:val="31"/>
  </w:num>
  <w:num w:numId="45" w16cid:durableId="17313911">
    <w:abstractNumId w:val="5"/>
  </w:num>
  <w:num w:numId="46" w16cid:durableId="6559613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34"/>
    <w:rsid w:val="00001360"/>
    <w:rsid w:val="000E348E"/>
    <w:rsid w:val="001262CA"/>
    <w:rsid w:val="002C559A"/>
    <w:rsid w:val="003309E5"/>
    <w:rsid w:val="00421314"/>
    <w:rsid w:val="004C4925"/>
    <w:rsid w:val="00574223"/>
    <w:rsid w:val="00671224"/>
    <w:rsid w:val="006E48E1"/>
    <w:rsid w:val="006F3568"/>
    <w:rsid w:val="00785535"/>
    <w:rsid w:val="009672A2"/>
    <w:rsid w:val="009C47C8"/>
    <w:rsid w:val="00A44F87"/>
    <w:rsid w:val="00A47C1B"/>
    <w:rsid w:val="00A77268"/>
    <w:rsid w:val="00AA66B0"/>
    <w:rsid w:val="00C1348E"/>
    <w:rsid w:val="00C411C5"/>
    <w:rsid w:val="00CA1B66"/>
    <w:rsid w:val="00D22BF3"/>
    <w:rsid w:val="00D54E9D"/>
    <w:rsid w:val="00DF5E95"/>
    <w:rsid w:val="00DF6C85"/>
    <w:rsid w:val="00EA7B63"/>
    <w:rsid w:val="00EE6CDB"/>
    <w:rsid w:val="00F51134"/>
    <w:rsid w:val="00F6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E81F"/>
  <w15:chartTrackingRefBased/>
  <w15:docId w15:val="{1BF2CCBA-837F-4DE6-AE97-57F8A6CE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34"/>
    <w:rPr>
      <w:rFonts w:eastAsiaTheme="majorEastAsia" w:cstheme="majorBidi"/>
      <w:color w:val="272727" w:themeColor="text1" w:themeTint="D8"/>
    </w:rPr>
  </w:style>
  <w:style w:type="paragraph" w:styleId="Title">
    <w:name w:val="Title"/>
    <w:basedOn w:val="Normal"/>
    <w:next w:val="Normal"/>
    <w:link w:val="TitleChar"/>
    <w:uiPriority w:val="10"/>
    <w:qFormat/>
    <w:rsid w:val="00F51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34"/>
    <w:pPr>
      <w:spacing w:before="160"/>
      <w:jc w:val="center"/>
    </w:pPr>
    <w:rPr>
      <w:i/>
      <w:iCs/>
      <w:color w:val="404040" w:themeColor="text1" w:themeTint="BF"/>
    </w:rPr>
  </w:style>
  <w:style w:type="character" w:customStyle="1" w:styleId="QuoteChar">
    <w:name w:val="Quote Char"/>
    <w:basedOn w:val="DefaultParagraphFont"/>
    <w:link w:val="Quote"/>
    <w:uiPriority w:val="29"/>
    <w:rsid w:val="00F51134"/>
    <w:rPr>
      <w:i/>
      <w:iCs/>
      <w:color w:val="404040" w:themeColor="text1" w:themeTint="BF"/>
    </w:rPr>
  </w:style>
  <w:style w:type="paragraph" w:styleId="ListParagraph">
    <w:name w:val="List Paragraph"/>
    <w:basedOn w:val="Normal"/>
    <w:uiPriority w:val="34"/>
    <w:qFormat/>
    <w:rsid w:val="00F51134"/>
    <w:pPr>
      <w:ind w:left="720"/>
      <w:contextualSpacing/>
    </w:pPr>
  </w:style>
  <w:style w:type="character" w:styleId="IntenseEmphasis">
    <w:name w:val="Intense Emphasis"/>
    <w:basedOn w:val="DefaultParagraphFont"/>
    <w:uiPriority w:val="21"/>
    <w:qFormat/>
    <w:rsid w:val="00F51134"/>
    <w:rPr>
      <w:i/>
      <w:iCs/>
      <w:color w:val="0F4761" w:themeColor="accent1" w:themeShade="BF"/>
    </w:rPr>
  </w:style>
  <w:style w:type="paragraph" w:styleId="IntenseQuote">
    <w:name w:val="Intense Quote"/>
    <w:basedOn w:val="Normal"/>
    <w:next w:val="Normal"/>
    <w:link w:val="IntenseQuoteChar"/>
    <w:uiPriority w:val="30"/>
    <w:qFormat/>
    <w:rsid w:val="00F51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134"/>
    <w:rPr>
      <w:i/>
      <w:iCs/>
      <w:color w:val="0F4761" w:themeColor="accent1" w:themeShade="BF"/>
    </w:rPr>
  </w:style>
  <w:style w:type="character" w:styleId="IntenseReference">
    <w:name w:val="Intense Reference"/>
    <w:basedOn w:val="DefaultParagraphFont"/>
    <w:uiPriority w:val="32"/>
    <w:qFormat/>
    <w:rsid w:val="00F51134"/>
    <w:rPr>
      <w:b/>
      <w:bCs/>
      <w:smallCaps/>
      <w:color w:val="0F4761" w:themeColor="accent1" w:themeShade="BF"/>
      <w:spacing w:val="5"/>
    </w:rPr>
  </w:style>
  <w:style w:type="paragraph" w:styleId="Header">
    <w:name w:val="header"/>
    <w:basedOn w:val="Normal"/>
    <w:link w:val="HeaderChar"/>
    <w:uiPriority w:val="99"/>
    <w:unhideWhenUsed/>
    <w:rsid w:val="00330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9E5"/>
  </w:style>
  <w:style w:type="paragraph" w:styleId="Footer">
    <w:name w:val="footer"/>
    <w:basedOn w:val="Normal"/>
    <w:link w:val="FooterChar"/>
    <w:uiPriority w:val="99"/>
    <w:unhideWhenUsed/>
    <w:rsid w:val="0033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9E5"/>
  </w:style>
  <w:style w:type="paragraph" w:styleId="TOCHeading">
    <w:name w:val="TOC Heading"/>
    <w:basedOn w:val="Heading1"/>
    <w:next w:val="Normal"/>
    <w:uiPriority w:val="39"/>
    <w:unhideWhenUsed/>
    <w:qFormat/>
    <w:rsid w:val="00EA7B63"/>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A7B63"/>
    <w:pPr>
      <w:spacing w:after="100"/>
      <w:ind w:left="220"/>
    </w:pPr>
  </w:style>
  <w:style w:type="character" w:styleId="Hyperlink">
    <w:name w:val="Hyperlink"/>
    <w:basedOn w:val="DefaultParagraphFont"/>
    <w:uiPriority w:val="99"/>
    <w:unhideWhenUsed/>
    <w:rsid w:val="00EA7B6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71326">
      <w:bodyDiv w:val="1"/>
      <w:marLeft w:val="0"/>
      <w:marRight w:val="0"/>
      <w:marTop w:val="0"/>
      <w:marBottom w:val="0"/>
      <w:divBdr>
        <w:top w:val="none" w:sz="0" w:space="0" w:color="auto"/>
        <w:left w:val="none" w:sz="0" w:space="0" w:color="auto"/>
        <w:bottom w:val="none" w:sz="0" w:space="0" w:color="auto"/>
        <w:right w:val="none" w:sz="0" w:space="0" w:color="auto"/>
      </w:divBdr>
      <w:divsChild>
        <w:div w:id="1076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25406">
      <w:bodyDiv w:val="1"/>
      <w:marLeft w:val="0"/>
      <w:marRight w:val="0"/>
      <w:marTop w:val="0"/>
      <w:marBottom w:val="0"/>
      <w:divBdr>
        <w:top w:val="none" w:sz="0" w:space="0" w:color="auto"/>
        <w:left w:val="none" w:sz="0" w:space="0" w:color="auto"/>
        <w:bottom w:val="none" w:sz="0" w:space="0" w:color="auto"/>
        <w:right w:val="none" w:sz="0" w:space="0" w:color="auto"/>
      </w:divBdr>
    </w:div>
    <w:div w:id="178937503">
      <w:bodyDiv w:val="1"/>
      <w:marLeft w:val="0"/>
      <w:marRight w:val="0"/>
      <w:marTop w:val="0"/>
      <w:marBottom w:val="0"/>
      <w:divBdr>
        <w:top w:val="none" w:sz="0" w:space="0" w:color="auto"/>
        <w:left w:val="none" w:sz="0" w:space="0" w:color="auto"/>
        <w:bottom w:val="none" w:sz="0" w:space="0" w:color="auto"/>
        <w:right w:val="none" w:sz="0" w:space="0" w:color="auto"/>
      </w:divBdr>
    </w:div>
    <w:div w:id="262805156">
      <w:bodyDiv w:val="1"/>
      <w:marLeft w:val="0"/>
      <w:marRight w:val="0"/>
      <w:marTop w:val="0"/>
      <w:marBottom w:val="0"/>
      <w:divBdr>
        <w:top w:val="none" w:sz="0" w:space="0" w:color="auto"/>
        <w:left w:val="none" w:sz="0" w:space="0" w:color="auto"/>
        <w:bottom w:val="none" w:sz="0" w:space="0" w:color="auto"/>
        <w:right w:val="none" w:sz="0" w:space="0" w:color="auto"/>
      </w:divBdr>
    </w:div>
    <w:div w:id="330135040">
      <w:bodyDiv w:val="1"/>
      <w:marLeft w:val="0"/>
      <w:marRight w:val="0"/>
      <w:marTop w:val="0"/>
      <w:marBottom w:val="0"/>
      <w:divBdr>
        <w:top w:val="none" w:sz="0" w:space="0" w:color="auto"/>
        <w:left w:val="none" w:sz="0" w:space="0" w:color="auto"/>
        <w:bottom w:val="none" w:sz="0" w:space="0" w:color="auto"/>
        <w:right w:val="none" w:sz="0" w:space="0" w:color="auto"/>
      </w:divBdr>
      <w:divsChild>
        <w:div w:id="141088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946554">
      <w:bodyDiv w:val="1"/>
      <w:marLeft w:val="0"/>
      <w:marRight w:val="0"/>
      <w:marTop w:val="0"/>
      <w:marBottom w:val="0"/>
      <w:divBdr>
        <w:top w:val="none" w:sz="0" w:space="0" w:color="auto"/>
        <w:left w:val="none" w:sz="0" w:space="0" w:color="auto"/>
        <w:bottom w:val="none" w:sz="0" w:space="0" w:color="auto"/>
        <w:right w:val="none" w:sz="0" w:space="0" w:color="auto"/>
      </w:divBdr>
    </w:div>
    <w:div w:id="436340374">
      <w:bodyDiv w:val="1"/>
      <w:marLeft w:val="0"/>
      <w:marRight w:val="0"/>
      <w:marTop w:val="0"/>
      <w:marBottom w:val="0"/>
      <w:divBdr>
        <w:top w:val="none" w:sz="0" w:space="0" w:color="auto"/>
        <w:left w:val="none" w:sz="0" w:space="0" w:color="auto"/>
        <w:bottom w:val="none" w:sz="0" w:space="0" w:color="auto"/>
        <w:right w:val="none" w:sz="0" w:space="0" w:color="auto"/>
      </w:divBdr>
    </w:div>
    <w:div w:id="486362674">
      <w:bodyDiv w:val="1"/>
      <w:marLeft w:val="0"/>
      <w:marRight w:val="0"/>
      <w:marTop w:val="0"/>
      <w:marBottom w:val="0"/>
      <w:divBdr>
        <w:top w:val="none" w:sz="0" w:space="0" w:color="auto"/>
        <w:left w:val="none" w:sz="0" w:space="0" w:color="auto"/>
        <w:bottom w:val="none" w:sz="0" w:space="0" w:color="auto"/>
        <w:right w:val="none" w:sz="0" w:space="0" w:color="auto"/>
      </w:divBdr>
      <w:divsChild>
        <w:div w:id="190148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858074">
      <w:bodyDiv w:val="1"/>
      <w:marLeft w:val="0"/>
      <w:marRight w:val="0"/>
      <w:marTop w:val="0"/>
      <w:marBottom w:val="0"/>
      <w:divBdr>
        <w:top w:val="none" w:sz="0" w:space="0" w:color="auto"/>
        <w:left w:val="none" w:sz="0" w:space="0" w:color="auto"/>
        <w:bottom w:val="none" w:sz="0" w:space="0" w:color="auto"/>
        <w:right w:val="none" w:sz="0" w:space="0" w:color="auto"/>
      </w:divBdr>
      <w:divsChild>
        <w:div w:id="41335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69734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905097">
      <w:bodyDiv w:val="1"/>
      <w:marLeft w:val="0"/>
      <w:marRight w:val="0"/>
      <w:marTop w:val="0"/>
      <w:marBottom w:val="0"/>
      <w:divBdr>
        <w:top w:val="none" w:sz="0" w:space="0" w:color="auto"/>
        <w:left w:val="none" w:sz="0" w:space="0" w:color="auto"/>
        <w:bottom w:val="none" w:sz="0" w:space="0" w:color="auto"/>
        <w:right w:val="none" w:sz="0" w:space="0" w:color="auto"/>
      </w:divBdr>
    </w:div>
    <w:div w:id="760375198">
      <w:bodyDiv w:val="1"/>
      <w:marLeft w:val="0"/>
      <w:marRight w:val="0"/>
      <w:marTop w:val="0"/>
      <w:marBottom w:val="0"/>
      <w:divBdr>
        <w:top w:val="none" w:sz="0" w:space="0" w:color="auto"/>
        <w:left w:val="none" w:sz="0" w:space="0" w:color="auto"/>
        <w:bottom w:val="none" w:sz="0" w:space="0" w:color="auto"/>
        <w:right w:val="none" w:sz="0" w:space="0" w:color="auto"/>
      </w:divBdr>
    </w:div>
    <w:div w:id="840853875">
      <w:bodyDiv w:val="1"/>
      <w:marLeft w:val="0"/>
      <w:marRight w:val="0"/>
      <w:marTop w:val="0"/>
      <w:marBottom w:val="0"/>
      <w:divBdr>
        <w:top w:val="none" w:sz="0" w:space="0" w:color="auto"/>
        <w:left w:val="none" w:sz="0" w:space="0" w:color="auto"/>
        <w:bottom w:val="none" w:sz="0" w:space="0" w:color="auto"/>
        <w:right w:val="none" w:sz="0" w:space="0" w:color="auto"/>
      </w:divBdr>
      <w:divsChild>
        <w:div w:id="1465536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054299">
      <w:bodyDiv w:val="1"/>
      <w:marLeft w:val="0"/>
      <w:marRight w:val="0"/>
      <w:marTop w:val="0"/>
      <w:marBottom w:val="0"/>
      <w:divBdr>
        <w:top w:val="none" w:sz="0" w:space="0" w:color="auto"/>
        <w:left w:val="none" w:sz="0" w:space="0" w:color="auto"/>
        <w:bottom w:val="none" w:sz="0" w:space="0" w:color="auto"/>
        <w:right w:val="none" w:sz="0" w:space="0" w:color="auto"/>
      </w:divBdr>
    </w:div>
    <w:div w:id="905915746">
      <w:bodyDiv w:val="1"/>
      <w:marLeft w:val="0"/>
      <w:marRight w:val="0"/>
      <w:marTop w:val="0"/>
      <w:marBottom w:val="0"/>
      <w:divBdr>
        <w:top w:val="none" w:sz="0" w:space="0" w:color="auto"/>
        <w:left w:val="none" w:sz="0" w:space="0" w:color="auto"/>
        <w:bottom w:val="none" w:sz="0" w:space="0" w:color="auto"/>
        <w:right w:val="none" w:sz="0" w:space="0" w:color="auto"/>
      </w:divBdr>
    </w:div>
    <w:div w:id="939024839">
      <w:bodyDiv w:val="1"/>
      <w:marLeft w:val="0"/>
      <w:marRight w:val="0"/>
      <w:marTop w:val="0"/>
      <w:marBottom w:val="0"/>
      <w:divBdr>
        <w:top w:val="none" w:sz="0" w:space="0" w:color="auto"/>
        <w:left w:val="none" w:sz="0" w:space="0" w:color="auto"/>
        <w:bottom w:val="none" w:sz="0" w:space="0" w:color="auto"/>
        <w:right w:val="none" w:sz="0" w:space="0" w:color="auto"/>
      </w:divBdr>
    </w:div>
    <w:div w:id="991640726">
      <w:bodyDiv w:val="1"/>
      <w:marLeft w:val="0"/>
      <w:marRight w:val="0"/>
      <w:marTop w:val="0"/>
      <w:marBottom w:val="0"/>
      <w:divBdr>
        <w:top w:val="none" w:sz="0" w:space="0" w:color="auto"/>
        <w:left w:val="none" w:sz="0" w:space="0" w:color="auto"/>
        <w:bottom w:val="none" w:sz="0" w:space="0" w:color="auto"/>
        <w:right w:val="none" w:sz="0" w:space="0" w:color="auto"/>
      </w:divBdr>
    </w:div>
    <w:div w:id="1193036231">
      <w:bodyDiv w:val="1"/>
      <w:marLeft w:val="0"/>
      <w:marRight w:val="0"/>
      <w:marTop w:val="0"/>
      <w:marBottom w:val="0"/>
      <w:divBdr>
        <w:top w:val="none" w:sz="0" w:space="0" w:color="auto"/>
        <w:left w:val="none" w:sz="0" w:space="0" w:color="auto"/>
        <w:bottom w:val="none" w:sz="0" w:space="0" w:color="auto"/>
        <w:right w:val="none" w:sz="0" w:space="0" w:color="auto"/>
      </w:divBdr>
    </w:div>
    <w:div w:id="1261790510">
      <w:bodyDiv w:val="1"/>
      <w:marLeft w:val="0"/>
      <w:marRight w:val="0"/>
      <w:marTop w:val="0"/>
      <w:marBottom w:val="0"/>
      <w:divBdr>
        <w:top w:val="none" w:sz="0" w:space="0" w:color="auto"/>
        <w:left w:val="none" w:sz="0" w:space="0" w:color="auto"/>
        <w:bottom w:val="none" w:sz="0" w:space="0" w:color="auto"/>
        <w:right w:val="none" w:sz="0" w:space="0" w:color="auto"/>
      </w:divBdr>
    </w:div>
    <w:div w:id="1328939306">
      <w:bodyDiv w:val="1"/>
      <w:marLeft w:val="0"/>
      <w:marRight w:val="0"/>
      <w:marTop w:val="0"/>
      <w:marBottom w:val="0"/>
      <w:divBdr>
        <w:top w:val="none" w:sz="0" w:space="0" w:color="auto"/>
        <w:left w:val="none" w:sz="0" w:space="0" w:color="auto"/>
        <w:bottom w:val="none" w:sz="0" w:space="0" w:color="auto"/>
        <w:right w:val="none" w:sz="0" w:space="0" w:color="auto"/>
      </w:divBdr>
    </w:div>
    <w:div w:id="1567689515">
      <w:bodyDiv w:val="1"/>
      <w:marLeft w:val="0"/>
      <w:marRight w:val="0"/>
      <w:marTop w:val="0"/>
      <w:marBottom w:val="0"/>
      <w:divBdr>
        <w:top w:val="none" w:sz="0" w:space="0" w:color="auto"/>
        <w:left w:val="none" w:sz="0" w:space="0" w:color="auto"/>
        <w:bottom w:val="none" w:sz="0" w:space="0" w:color="auto"/>
        <w:right w:val="none" w:sz="0" w:space="0" w:color="auto"/>
      </w:divBdr>
      <w:divsChild>
        <w:div w:id="765227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73308">
      <w:bodyDiv w:val="1"/>
      <w:marLeft w:val="0"/>
      <w:marRight w:val="0"/>
      <w:marTop w:val="0"/>
      <w:marBottom w:val="0"/>
      <w:divBdr>
        <w:top w:val="none" w:sz="0" w:space="0" w:color="auto"/>
        <w:left w:val="none" w:sz="0" w:space="0" w:color="auto"/>
        <w:bottom w:val="none" w:sz="0" w:space="0" w:color="auto"/>
        <w:right w:val="none" w:sz="0" w:space="0" w:color="auto"/>
      </w:divBdr>
      <w:divsChild>
        <w:div w:id="181170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96117">
      <w:bodyDiv w:val="1"/>
      <w:marLeft w:val="0"/>
      <w:marRight w:val="0"/>
      <w:marTop w:val="0"/>
      <w:marBottom w:val="0"/>
      <w:divBdr>
        <w:top w:val="none" w:sz="0" w:space="0" w:color="auto"/>
        <w:left w:val="none" w:sz="0" w:space="0" w:color="auto"/>
        <w:bottom w:val="none" w:sz="0" w:space="0" w:color="auto"/>
        <w:right w:val="none" w:sz="0" w:space="0" w:color="auto"/>
      </w:divBdr>
    </w:div>
    <w:div w:id="1780754813">
      <w:bodyDiv w:val="1"/>
      <w:marLeft w:val="0"/>
      <w:marRight w:val="0"/>
      <w:marTop w:val="0"/>
      <w:marBottom w:val="0"/>
      <w:divBdr>
        <w:top w:val="none" w:sz="0" w:space="0" w:color="auto"/>
        <w:left w:val="none" w:sz="0" w:space="0" w:color="auto"/>
        <w:bottom w:val="none" w:sz="0" w:space="0" w:color="auto"/>
        <w:right w:val="none" w:sz="0" w:space="0" w:color="auto"/>
      </w:divBdr>
    </w:div>
    <w:div w:id="1819413784">
      <w:bodyDiv w:val="1"/>
      <w:marLeft w:val="0"/>
      <w:marRight w:val="0"/>
      <w:marTop w:val="0"/>
      <w:marBottom w:val="0"/>
      <w:divBdr>
        <w:top w:val="none" w:sz="0" w:space="0" w:color="auto"/>
        <w:left w:val="none" w:sz="0" w:space="0" w:color="auto"/>
        <w:bottom w:val="none" w:sz="0" w:space="0" w:color="auto"/>
        <w:right w:val="none" w:sz="0" w:space="0" w:color="auto"/>
      </w:divBdr>
    </w:div>
    <w:div w:id="1828545868">
      <w:bodyDiv w:val="1"/>
      <w:marLeft w:val="0"/>
      <w:marRight w:val="0"/>
      <w:marTop w:val="0"/>
      <w:marBottom w:val="0"/>
      <w:divBdr>
        <w:top w:val="none" w:sz="0" w:space="0" w:color="auto"/>
        <w:left w:val="none" w:sz="0" w:space="0" w:color="auto"/>
        <w:bottom w:val="none" w:sz="0" w:space="0" w:color="auto"/>
        <w:right w:val="none" w:sz="0" w:space="0" w:color="auto"/>
      </w:divBdr>
    </w:div>
    <w:div w:id="1834225306">
      <w:bodyDiv w:val="1"/>
      <w:marLeft w:val="0"/>
      <w:marRight w:val="0"/>
      <w:marTop w:val="0"/>
      <w:marBottom w:val="0"/>
      <w:divBdr>
        <w:top w:val="none" w:sz="0" w:space="0" w:color="auto"/>
        <w:left w:val="none" w:sz="0" w:space="0" w:color="auto"/>
        <w:bottom w:val="none" w:sz="0" w:space="0" w:color="auto"/>
        <w:right w:val="none" w:sz="0" w:space="0" w:color="auto"/>
      </w:divBdr>
      <w:divsChild>
        <w:div w:id="425686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001423">
      <w:bodyDiv w:val="1"/>
      <w:marLeft w:val="0"/>
      <w:marRight w:val="0"/>
      <w:marTop w:val="0"/>
      <w:marBottom w:val="0"/>
      <w:divBdr>
        <w:top w:val="none" w:sz="0" w:space="0" w:color="auto"/>
        <w:left w:val="none" w:sz="0" w:space="0" w:color="auto"/>
        <w:bottom w:val="none" w:sz="0" w:space="0" w:color="auto"/>
        <w:right w:val="none" w:sz="0" w:space="0" w:color="auto"/>
      </w:divBdr>
    </w:div>
    <w:div w:id="1886022585">
      <w:bodyDiv w:val="1"/>
      <w:marLeft w:val="0"/>
      <w:marRight w:val="0"/>
      <w:marTop w:val="0"/>
      <w:marBottom w:val="0"/>
      <w:divBdr>
        <w:top w:val="none" w:sz="0" w:space="0" w:color="auto"/>
        <w:left w:val="none" w:sz="0" w:space="0" w:color="auto"/>
        <w:bottom w:val="none" w:sz="0" w:space="0" w:color="auto"/>
        <w:right w:val="none" w:sz="0" w:space="0" w:color="auto"/>
      </w:divBdr>
      <w:divsChild>
        <w:div w:id="96084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90973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362115">
      <w:bodyDiv w:val="1"/>
      <w:marLeft w:val="0"/>
      <w:marRight w:val="0"/>
      <w:marTop w:val="0"/>
      <w:marBottom w:val="0"/>
      <w:divBdr>
        <w:top w:val="none" w:sz="0" w:space="0" w:color="auto"/>
        <w:left w:val="none" w:sz="0" w:space="0" w:color="auto"/>
        <w:bottom w:val="none" w:sz="0" w:space="0" w:color="auto"/>
        <w:right w:val="none" w:sz="0" w:space="0" w:color="auto"/>
      </w:divBdr>
    </w:div>
    <w:div w:id="1970089677">
      <w:bodyDiv w:val="1"/>
      <w:marLeft w:val="0"/>
      <w:marRight w:val="0"/>
      <w:marTop w:val="0"/>
      <w:marBottom w:val="0"/>
      <w:divBdr>
        <w:top w:val="none" w:sz="0" w:space="0" w:color="auto"/>
        <w:left w:val="none" w:sz="0" w:space="0" w:color="auto"/>
        <w:bottom w:val="none" w:sz="0" w:space="0" w:color="auto"/>
        <w:right w:val="none" w:sz="0" w:space="0" w:color="auto"/>
      </w:divBdr>
    </w:div>
    <w:div w:id="1971862068">
      <w:bodyDiv w:val="1"/>
      <w:marLeft w:val="0"/>
      <w:marRight w:val="0"/>
      <w:marTop w:val="0"/>
      <w:marBottom w:val="0"/>
      <w:divBdr>
        <w:top w:val="none" w:sz="0" w:space="0" w:color="auto"/>
        <w:left w:val="none" w:sz="0" w:space="0" w:color="auto"/>
        <w:bottom w:val="none" w:sz="0" w:space="0" w:color="auto"/>
        <w:right w:val="none" w:sz="0" w:space="0" w:color="auto"/>
      </w:divBdr>
    </w:div>
    <w:div w:id="2004895894">
      <w:bodyDiv w:val="1"/>
      <w:marLeft w:val="0"/>
      <w:marRight w:val="0"/>
      <w:marTop w:val="0"/>
      <w:marBottom w:val="0"/>
      <w:divBdr>
        <w:top w:val="none" w:sz="0" w:space="0" w:color="auto"/>
        <w:left w:val="none" w:sz="0" w:space="0" w:color="auto"/>
        <w:bottom w:val="none" w:sz="0" w:space="0" w:color="auto"/>
        <w:right w:val="none" w:sz="0" w:space="0" w:color="auto"/>
      </w:divBdr>
    </w:div>
    <w:div w:id="2117599915">
      <w:bodyDiv w:val="1"/>
      <w:marLeft w:val="0"/>
      <w:marRight w:val="0"/>
      <w:marTop w:val="0"/>
      <w:marBottom w:val="0"/>
      <w:divBdr>
        <w:top w:val="none" w:sz="0" w:space="0" w:color="auto"/>
        <w:left w:val="none" w:sz="0" w:space="0" w:color="auto"/>
        <w:bottom w:val="none" w:sz="0" w:space="0" w:color="auto"/>
        <w:right w:val="none" w:sz="0" w:space="0" w:color="auto"/>
      </w:divBdr>
      <w:divsChild>
        <w:div w:id="1508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0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8D324-C00C-4316-8126-4673FA553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17</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WALEKHWA</dc:creator>
  <cp:keywords/>
  <dc:description/>
  <cp:lastModifiedBy>PHILIP WALEKHWA</cp:lastModifiedBy>
  <cp:revision>17</cp:revision>
  <dcterms:created xsi:type="dcterms:W3CDTF">2025-07-05T13:11:00Z</dcterms:created>
  <dcterms:modified xsi:type="dcterms:W3CDTF">2025-07-05T16:32:00Z</dcterms:modified>
</cp:coreProperties>
</file>