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History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Agoncillo. Comprehensive overview of Philippine History including Pre-Spanish life and culture, Spanish rule, the Filipino -American War, American rule, and the campaign for Independence, among other subjects.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"El Filibusterismo," Rizal's second novel, is a more provocative work that delves into revolutionary themes. It centers on the character of Simoun, a radicalized version of Ibarra, who comes back to the Philippines with the intention of instigating an uprising.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Noli Me Tangere Follows The Story Of Crisostomo </w:t>
      </w:r>
    </w:p>
    <w:p w:rsidR="00000000" w:rsidDel="00000000" w:rsidP="00000000" w:rsidRDefault="00000000" w:rsidRPr="00000000" w14:paraId="00000009">
      <w:pPr>
        <w:rPr/>
      </w:pPr>
      <w:r w:rsidDel="00000000" w:rsidR="00000000" w:rsidRPr="00000000">
        <w:rPr>
          <w:rtl w:val="0"/>
        </w:rPr>
        <w:t xml:space="preserve">Ibarra As He Tries To Bring Progress To His Nation And Its People. But Instead, He Was Accused Of Being A Filibuster And Ends Up Losing Not Only The Love Of His Life, Maria Clara, But Also His Freedom.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Biology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much-anticipated 3rd edition of Cell Biology delivers comprehensive, clearly written, and richly illustrated content to today’s students, all in a user-friendly format. Relevant to both research and clinical practice, this rich resource covers key principles of cellular function and uses them to explain how molecular defects lead to cellular dysfunction and cause human disease. Concise text and visually amazing graphics simplify complex information and help readers make the most of their study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A Global Approach delivers a trusted, accurate, current, and pedagogically innovative experience that guides students to a true understanding of biology. The author team advances Neil Campbell’s vision of meeting and equipping students at their individual skill levels by developing tools, visuals, resources, and activities that encourage participation and engage students in their learning. Known for strategically integrating text and artwork, this trusted course solution works hand in hand with Mastering Biology to reinforce key concepts, build scientific skills, and promote active learning. The 12th Edition meets demonstrated student needs with new student-centered features, expanded interactivity in the eText, and fully revised assessment program.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this course students will be immersed in the study of living things. The course focuses on an understanding of broader concepts and how they are interconnected. Students will be observing inferring and experimenting as they are encouraged to ask questions form explanations compare their explanations with current scientific knowledge and communicate their ideas.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Fine arts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Photography is a relatively new art less than 200 years old but one that changes the way we interpret the world around us and quite simply the way we see. This course will teach such fundamental concepts as frame focus and composition while also exploring the more interpretive side of photography.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principles of design are studied and students learn to create a balanced composition. Still life portrait and landscape drawings are explored in detail as students develop their artistic abilities and learn to think and see like an artist.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comprehensive introduction to the fundamental concepts of artistic expression, The Art of Seeing covers both traditional and contemporary art in a wide variety of media. Techniques of drawing and principles of design are explored in detail and illuminated by exceptional artwork. This college level textbook will serve as a permanent reference for any student in an artistic field.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