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80"/>
        <w:jc w:val="center"/>
      </w:pPr>
      <w:r>
        <w:rPr>
          <w:b/>
          <w:sz w:val="27"/>
        </w:rPr>
        <w:t>UNIVERSITY OF MACAU</w:t>
      </w:r>
    </w:p>
    <w:p>
      <w:pPr>
        <w:pStyle w:val="Title"/>
        <w:jc w:val="center"/>
      </w:pPr>
      <w:r>
        <w:rPr>
          <w:color w:val="000000"/>
        </w:rPr>
        <w:t>Revised Project Proposal</w:t>
      </w:r>
    </w:p>
    <w:p>
      <w:pPr>
        <w:pStyle w:val="Subtitle"/>
        <w:spacing w:after="400"/>
        <w:jc w:val="center"/>
      </w:pPr>
      <w:r>
        <w:rPr>
          <w:color w:val="000000"/>
        </w:rPr>
        <w:t>Macao Monthly Visitor Arrivals Trends Seasonality and Recovery 2008 to 2026</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rPr>
        <w:tc>
          <w:tcPr>
            <w:tcW w:type="dxa" w:w="2381"/>
            <w:vAlign w:val="center"/>
            <w:tcMar>
              <w:top w:w="100" w:type="dxa"/>
              <w:start w:w="120" w:type="dxa"/>
              <w:bottom w:w="100" w:type="dxa"/>
              <w:end w:w="120" w:type="dxa"/>
            </w:tcMar>
            <w:shd w:fill="EAF2F8"/>
          </w:tcPr>
          <w:p>
            <w:pPr>
              <w:spacing w:after="0" w:line="245" w:lineRule="auto"/>
            </w:pPr>
            <w:r>
              <w:rPr>
                <w:b/>
                <w:sz w:val="16"/>
              </w:rPr>
              <w:t>Course</w:t>
            </w:r>
          </w:p>
        </w:tc>
        <w:tc>
          <w:tcPr>
            <w:tcW w:type="dxa" w:w="6350"/>
            <w:vAlign w:val="center"/>
            <w:tcMar>
              <w:top w:w="100" w:type="dxa"/>
              <w:start w:w="120" w:type="dxa"/>
              <w:bottom w:w="100" w:type="dxa"/>
              <w:end w:w="120" w:type="dxa"/>
            </w:tcMar>
            <w:shd w:fill="EAF2F8"/>
          </w:tcPr>
          <w:p>
            <w:pPr>
              <w:spacing w:after="0" w:line="245" w:lineRule="auto"/>
            </w:pPr>
            <w:r>
              <w:rPr>
                <w:sz w:val="16"/>
              </w:rPr>
              <w:t>CISC7204 Data Science and Data Visualization</w:t>
            </w:r>
          </w:p>
        </w:tc>
      </w:tr>
      <w:tr>
        <w:trPr>
          <w:cantSplit/>
        </w:trPr>
        <w:tc>
          <w:tcPr>
            <w:tcW w:type="dxa" w:w="2381"/>
            <w:vAlign w:val="center"/>
            <w:tcMar>
              <w:top w:w="100" w:type="dxa"/>
              <w:start w:w="120" w:type="dxa"/>
              <w:bottom w:w="100" w:type="dxa"/>
              <w:end w:w="120" w:type="dxa"/>
            </w:tcMar>
          </w:tcPr>
          <w:p>
            <w:pPr>
              <w:spacing w:after="0" w:line="245" w:lineRule="auto"/>
            </w:pPr>
            <w:r>
              <w:rPr>
                <w:b/>
                <w:sz w:val="16"/>
              </w:rPr>
              <w:t>Coursework</w:t>
            </w:r>
          </w:p>
        </w:tc>
        <w:tc>
          <w:tcPr>
            <w:tcW w:type="dxa" w:w="6350"/>
            <w:vAlign w:val="center"/>
            <w:tcMar>
              <w:top w:w="100" w:type="dxa"/>
              <w:start w:w="120" w:type="dxa"/>
              <w:bottom w:w="100" w:type="dxa"/>
              <w:end w:w="120" w:type="dxa"/>
            </w:tcMar>
          </w:tcPr>
          <w:p>
            <w:pPr>
              <w:spacing w:after="0" w:line="245" w:lineRule="auto"/>
            </w:pPr>
            <w:r>
              <w:rPr>
                <w:sz w:val="16"/>
              </w:rPr>
              <w:t>Assignment 02 Revised Project Proposal</w:t>
            </w:r>
          </w:p>
        </w:tc>
      </w:tr>
      <w:tr>
        <w:trPr>
          <w:cantSplit/>
        </w:trPr>
        <w:tc>
          <w:tcPr>
            <w:tcW w:type="dxa" w:w="2381"/>
            <w:vAlign w:val="center"/>
            <w:tcMar>
              <w:top w:w="100" w:type="dxa"/>
              <w:start w:w="120" w:type="dxa"/>
              <w:bottom w:w="100" w:type="dxa"/>
              <w:end w:w="120" w:type="dxa"/>
            </w:tcMar>
            <w:shd w:fill="EAF2F8"/>
          </w:tcPr>
          <w:p>
            <w:pPr>
              <w:spacing w:after="0" w:line="245" w:lineRule="auto"/>
            </w:pPr>
            <w:r>
              <w:rPr>
                <w:b/>
                <w:sz w:val="16"/>
              </w:rPr>
              <w:t>Pair</w:t>
            </w:r>
          </w:p>
        </w:tc>
        <w:tc>
          <w:tcPr>
            <w:tcW w:type="dxa" w:w="6350"/>
            <w:vAlign w:val="center"/>
            <w:tcMar>
              <w:top w:w="100" w:type="dxa"/>
              <w:start w:w="120" w:type="dxa"/>
              <w:bottom w:w="100" w:type="dxa"/>
              <w:end w:w="120" w:type="dxa"/>
            </w:tcMar>
            <w:shd w:fill="EAF2F8"/>
          </w:tcPr>
          <w:p>
            <w:pPr>
              <w:spacing w:after="0" w:line="245" w:lineRule="auto"/>
            </w:pPr>
            <w:r>
              <w:rPr>
                <w:sz w:val="16"/>
              </w:rPr>
              <w:t>Pair02</w:t>
            </w:r>
          </w:p>
        </w:tc>
      </w:tr>
      <w:tr>
        <w:trPr>
          <w:cantSplit/>
        </w:trPr>
        <w:tc>
          <w:tcPr>
            <w:tcW w:type="dxa" w:w="2381"/>
            <w:vAlign w:val="center"/>
            <w:tcMar>
              <w:top w:w="100" w:type="dxa"/>
              <w:start w:w="120" w:type="dxa"/>
              <w:bottom w:w="100" w:type="dxa"/>
              <w:end w:w="120" w:type="dxa"/>
            </w:tcMar>
          </w:tcPr>
          <w:p>
            <w:r>
              <w:rPr>
                <w:sz w:val="16"/>
              </w:rPr>
              <w:t>Member 1</w:t>
            </w:r>
          </w:p>
        </w:tc>
        <w:tc>
          <w:tcPr>
            <w:tcW w:type="dxa" w:w="6350"/>
            <w:vAlign w:val="center"/>
            <w:tcMar>
              <w:top w:w="100" w:type="dxa"/>
              <w:start w:w="120" w:type="dxa"/>
              <w:bottom w:w="100" w:type="dxa"/>
              <w:end w:w="120" w:type="dxa"/>
            </w:tcMar>
          </w:tcPr>
          <w:p>
            <w:r>
              <w:rPr>
                <w:sz w:val="16"/>
              </w:rPr>
              <w:t>WANG HE  MC660942</w:t>
            </w:r>
          </w:p>
        </w:tc>
      </w:tr>
      <w:tr>
        <w:trPr>
          <w:cantSplit/>
        </w:trPr>
        <w:tc>
          <w:tcPr>
            <w:tcW w:type="dxa" w:w="2381"/>
            <w:vAlign w:val="center"/>
            <w:tcMar>
              <w:top w:w="100" w:type="dxa"/>
              <w:start w:w="120" w:type="dxa"/>
              <w:bottom w:w="100" w:type="dxa"/>
              <w:end w:w="120" w:type="dxa"/>
            </w:tcMar>
            <w:shd w:fill="EAF2F8"/>
          </w:tcPr>
          <w:p>
            <w:r>
              <w:rPr>
                <w:sz w:val="16"/>
              </w:rPr>
              <w:t>Member 2</w:t>
            </w:r>
          </w:p>
        </w:tc>
        <w:tc>
          <w:tcPr>
            <w:tcW w:type="dxa" w:w="6350"/>
            <w:vAlign w:val="center"/>
            <w:tcMar>
              <w:top w:w="100" w:type="dxa"/>
              <w:start w:w="120" w:type="dxa"/>
              <w:bottom w:w="100" w:type="dxa"/>
              <w:end w:w="120" w:type="dxa"/>
            </w:tcMar>
            <w:shd w:fill="EAF2F8"/>
          </w:tcPr>
          <w:p>
            <w:r>
              <w:rPr>
                <w:sz w:val="16"/>
              </w:rPr>
              <w:t>WANG HAOYU  MC644384</w:t>
            </w:r>
          </w:p>
        </w:tc>
      </w:tr>
      <w:tr>
        <w:trPr>
          <w:cantSplit/>
        </w:trPr>
        <w:tc>
          <w:tcPr>
            <w:tcW w:type="dxa" w:w="2381"/>
            <w:vAlign w:val="center"/>
            <w:tcMar>
              <w:top w:w="100" w:type="dxa"/>
              <w:start w:w="120" w:type="dxa"/>
              <w:bottom w:w="100" w:type="dxa"/>
              <w:end w:w="120" w:type="dxa"/>
            </w:tcMar>
          </w:tcPr>
          <w:p>
            <w:pPr>
              <w:spacing w:after="0" w:line="245" w:lineRule="auto"/>
            </w:pPr>
            <w:r>
              <w:rPr>
                <w:b/>
                <w:sz w:val="16"/>
              </w:rPr>
              <w:t>Region</w:t>
            </w:r>
          </w:p>
        </w:tc>
        <w:tc>
          <w:tcPr>
            <w:tcW w:type="dxa" w:w="6350"/>
            <w:vAlign w:val="center"/>
            <w:tcMar>
              <w:top w:w="100" w:type="dxa"/>
              <w:start w:w="120" w:type="dxa"/>
              <w:bottom w:w="100" w:type="dxa"/>
              <w:end w:w="120" w:type="dxa"/>
            </w:tcMar>
          </w:tcPr>
          <w:p>
            <w:pPr>
              <w:spacing w:after="0" w:line="245" w:lineRule="auto"/>
            </w:pPr>
            <w:r>
              <w:rPr>
                <w:sz w:val="16"/>
              </w:rPr>
              <w:t>Macao Special Administrative Region</w:t>
            </w:r>
          </w:p>
        </w:tc>
      </w:tr>
      <w:tr>
        <w:trPr>
          <w:cantSplit/>
        </w:trPr>
        <w:tc>
          <w:tcPr>
            <w:tcW w:type="dxa" w:w="2381"/>
            <w:vAlign w:val="center"/>
            <w:tcMar>
              <w:top w:w="100" w:type="dxa"/>
              <w:start w:w="120" w:type="dxa"/>
              <w:bottom w:w="100" w:type="dxa"/>
              <w:end w:w="120" w:type="dxa"/>
            </w:tcMar>
            <w:shd w:fill="EAF2F8"/>
          </w:tcPr>
          <w:p>
            <w:pPr>
              <w:spacing w:after="0" w:line="245" w:lineRule="auto"/>
            </w:pPr>
            <w:r>
              <w:rPr>
                <w:b/>
                <w:sz w:val="16"/>
              </w:rPr>
              <w:t>Domain</w:t>
            </w:r>
          </w:p>
        </w:tc>
        <w:tc>
          <w:tcPr>
            <w:tcW w:type="dxa" w:w="6350"/>
            <w:vAlign w:val="center"/>
            <w:tcMar>
              <w:top w:w="100" w:type="dxa"/>
              <w:start w:w="120" w:type="dxa"/>
              <w:bottom w:w="100" w:type="dxa"/>
              <w:end w:w="120" w:type="dxa"/>
            </w:tcMar>
            <w:shd w:fill="EAF2F8"/>
          </w:tcPr>
          <w:p>
            <w:pPr>
              <w:spacing w:after="0" w:line="245" w:lineRule="auto"/>
            </w:pPr>
            <w:r>
              <w:rPr>
                <w:sz w:val="16"/>
              </w:rPr>
              <w:t>Tourism and monthly time series analysis</w:t>
            </w:r>
          </w:p>
        </w:tc>
      </w:tr>
    </w:tbl>
    <w:p>
      <w:pPr>
        <w:pStyle w:val="Heading1"/>
      </w:pPr>
      <w:r>
        <w:rPr>
          <w:color w:val="000000"/>
        </w:rPr>
        <w:t>Proposal Continuity</w:t>
      </w:r>
    </w:p>
    <w:p>
      <w:r>
        <w:t>This project extends the supplied Assignment 01 prototype on Macao visitor arrivals. The notebook contains 223 monthly observations from January 2008 to July 2026 and five implemented visual analyses. All 223 counts match the supplied XLS and a DSEC report downloaded on 25 October 2026. We will turn this working prototype into a reproducible, validated visual study.</w:t>
      </w:r>
    </w:p>
    <w:p>
      <w:pPr>
        <w:pStyle w:val="Heading2"/>
      </w:pPr>
      <w:r>
        <w:t>Purpose and Learning Outcomes</w:t>
      </w:r>
    </w:p>
    <w:p>
      <w:r>
        <w:t>Outcomes  The project applies CISC7204 data preparation, visual encoding, and data storytelling to an official time series. Explaining recovery with defensible comparisons will support subsequent study and work in data analysis.</w:t>
      </w:r>
    </w:p>
    <w:p>
      <w:r>
        <w:t>Skills  We will practice pandas cleaning and date indexing, Matplotlib and Seaborn plotting, seasonal decomposition, reproducible notebook design, and clear communication of uncertainty.</w:t>
      </w:r>
    </w:p>
    <w:p>
      <w:r>
        <w:t>Knowledge  We will develop understanding of trend, seasonal variation, outliers, denominator choice, partial-year comparisons, official statistical definitions, and the difference between association and causation.</w:t>
      </w:r>
    </w:p>
    <w:p>
      <w:r>
        <w:rPr>
          <w:b/>
        </w:rPr>
        <w:t xml:space="preserve">Central research question  </w:t>
      </w:r>
      <w:r>
        <w:t>How did Macao monthly inbound visitor arrivals evolve across long term growth, pandemic disruption, and post reopening recovery, and what trend, recurring seasonal pattern, and unusual shock can be identified between January 2008 and July 2026?</w:t>
      </w:r>
    </w:p>
    <w:p>
      <w:r>
        <w:br w:type="page"/>
      </w:r>
    </w:p>
    <w:p>
      <w:pPr>
        <w:pStyle w:val="Heading1"/>
      </w:pPr>
      <w:r>
        <w:rPr>
          <w:color w:val="000000"/>
        </w:rPr>
        <w:t>Project Scope and Research Questions</w:t>
      </w:r>
    </w:p>
    <w:p>
      <w:r>
        <w:t>The unit of analysis is one calendar month. The project will examine the official monthly count of inbound visitor arrivals and will not use that count as a substitute for tourism revenue, spending, hotel demand, or visitor value. The descriptive phase labels below organize the timeline; they do not by themselves establish causal effects.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cantSplit/>
        </w:trPr>
        <w:tc>
          <w:tcPr>
            <w:tcW w:type="dxa" w:w="2268"/>
            <w:vAlign w:val="center"/>
            <w:tcMar>
              <w:top w:w="100" w:type="dxa"/>
              <w:start w:w="120" w:type="dxa"/>
              <w:bottom w:w="100" w:type="dxa"/>
              <w:end w:w="120" w:type="dxa"/>
            </w:tcMar>
            <w:shd w:fill="17365D"/>
          </w:tcPr>
          <w:p>
            <w:pPr>
              <w:spacing w:after="0" w:line="245" w:lineRule="auto"/>
            </w:pPr>
            <w:r>
              <w:rPr>
                <w:b/>
                <w:color w:val="FFFFFF"/>
                <w:sz w:val="16"/>
              </w:rPr>
              <w:t>Analytical phase</w:t>
            </w:r>
          </w:p>
        </w:tc>
        <w:tc>
          <w:tcPr>
            <w:tcW w:type="dxa" w:w="1984"/>
            <w:vAlign w:val="center"/>
            <w:tcMar>
              <w:top w:w="100" w:type="dxa"/>
              <w:start w:w="120" w:type="dxa"/>
              <w:bottom w:w="100" w:type="dxa"/>
              <w:end w:w="120" w:type="dxa"/>
            </w:tcMar>
            <w:shd w:fill="17365D"/>
          </w:tcPr>
          <w:p>
            <w:pPr>
              <w:spacing w:after="0" w:line="245" w:lineRule="auto"/>
            </w:pPr>
            <w:r>
              <w:rPr>
                <w:b/>
                <w:color w:val="FFFFFF"/>
                <w:sz w:val="16"/>
              </w:rPr>
              <w:t>Period</w:t>
            </w:r>
          </w:p>
        </w:tc>
        <w:tc>
          <w:tcPr>
            <w:tcW w:type="dxa" w:w="4649"/>
            <w:vAlign w:val="center"/>
            <w:tcMar>
              <w:top w:w="100" w:type="dxa"/>
              <w:start w:w="120" w:type="dxa"/>
              <w:bottom w:w="100" w:type="dxa"/>
              <w:end w:w="120" w:type="dxa"/>
            </w:tcMar>
            <w:shd w:fill="17365D"/>
          </w:tcPr>
          <w:p>
            <w:pPr>
              <w:spacing w:after="0" w:line="245" w:lineRule="auto"/>
            </w:pPr>
            <w:r>
              <w:rPr>
                <w:b/>
                <w:color w:val="FFFFFF"/>
                <w:sz w:val="16"/>
              </w:rPr>
              <w:t>Purpose</w:t>
            </w:r>
          </w:p>
        </w:tc>
      </w:tr>
      <w:tr>
        <w:trPr>
          <w:cantSplit/>
        </w:trPr>
        <w:tc>
          <w:tcPr>
            <w:tcW w:type="dxa" w:w="2268"/>
            <w:vAlign w:val="center"/>
            <w:tcMar>
              <w:top w:w="100" w:type="dxa"/>
              <w:start w:w="120" w:type="dxa"/>
              <w:bottom w:w="100" w:type="dxa"/>
              <w:end w:w="120" w:type="dxa"/>
            </w:tcMar>
          </w:tcPr>
          <w:p>
            <w:pPr>
              <w:spacing w:after="0" w:line="245" w:lineRule="auto"/>
            </w:pPr>
            <w:r>
              <w:rPr>
                <w:sz w:val="16"/>
              </w:rPr>
              <w:t>Growth and baseline</w:t>
            </w:r>
          </w:p>
        </w:tc>
        <w:tc>
          <w:tcPr>
            <w:tcW w:type="dxa" w:w="1984"/>
            <w:vAlign w:val="center"/>
            <w:tcMar>
              <w:top w:w="100" w:type="dxa"/>
              <w:start w:w="120" w:type="dxa"/>
              <w:bottom w:w="100" w:type="dxa"/>
              <w:end w:w="120" w:type="dxa"/>
            </w:tcMar>
          </w:tcPr>
          <w:p>
            <w:pPr>
              <w:spacing w:after="0" w:line="245" w:lineRule="auto"/>
            </w:pPr>
            <w:r>
              <w:rPr>
                <w:sz w:val="16"/>
              </w:rPr>
              <w:t>2008 to 2019</w:t>
            </w:r>
          </w:p>
        </w:tc>
        <w:tc>
          <w:tcPr>
            <w:tcW w:type="dxa" w:w="4649"/>
            <w:vAlign w:val="center"/>
            <w:tcMar>
              <w:top w:w="100" w:type="dxa"/>
              <w:start w:w="120" w:type="dxa"/>
              <w:bottom w:w="100" w:type="dxa"/>
              <w:end w:w="120" w:type="dxa"/>
            </w:tcMar>
          </w:tcPr>
          <w:p>
            <w:pPr>
              <w:spacing w:after="0" w:line="245" w:lineRule="auto"/>
            </w:pPr>
            <w:r>
              <w:rPr>
                <w:sz w:val="16"/>
              </w:rPr>
              <w:t>Establish the long run trajectory and pre pandemic seasonal pattern</w:t>
            </w:r>
          </w:p>
        </w:tc>
      </w:tr>
      <w:tr>
        <w:trPr>
          <w:cantSplit/>
        </w:trPr>
        <w:tc>
          <w:tcPr>
            <w:tcW w:type="dxa" w:w="2268"/>
            <w:vAlign w:val="center"/>
            <w:tcMar>
              <w:top w:w="100" w:type="dxa"/>
              <w:start w:w="120" w:type="dxa"/>
              <w:bottom w:w="100" w:type="dxa"/>
              <w:end w:w="120" w:type="dxa"/>
            </w:tcMar>
            <w:shd w:fill="EAF2F8"/>
          </w:tcPr>
          <w:p>
            <w:pPr>
              <w:spacing w:after="0" w:line="245" w:lineRule="auto"/>
            </w:pPr>
            <w:r>
              <w:rPr>
                <w:sz w:val="16"/>
              </w:rPr>
              <w:t>Disruption</w:t>
            </w:r>
          </w:p>
        </w:tc>
        <w:tc>
          <w:tcPr>
            <w:tcW w:type="dxa" w:w="1984"/>
            <w:vAlign w:val="center"/>
            <w:tcMar>
              <w:top w:w="100" w:type="dxa"/>
              <w:start w:w="120" w:type="dxa"/>
              <w:bottom w:w="100" w:type="dxa"/>
              <w:end w:w="120" w:type="dxa"/>
            </w:tcMar>
            <w:shd w:fill="EAF2F8"/>
          </w:tcPr>
          <w:p>
            <w:pPr>
              <w:spacing w:after="0" w:line="245" w:lineRule="auto"/>
            </w:pPr>
            <w:r>
              <w:rPr>
                <w:sz w:val="16"/>
              </w:rPr>
              <w:t>2020 to 2022</w:t>
            </w:r>
          </w:p>
        </w:tc>
        <w:tc>
          <w:tcPr>
            <w:tcW w:type="dxa" w:w="4649"/>
            <w:vAlign w:val="center"/>
            <w:tcMar>
              <w:top w:w="100" w:type="dxa"/>
              <w:start w:w="120" w:type="dxa"/>
              <w:bottom w:w="100" w:type="dxa"/>
              <w:end w:w="120" w:type="dxa"/>
            </w:tcMar>
            <w:shd w:fill="EAF2F8"/>
          </w:tcPr>
          <w:p>
            <w:pPr>
              <w:spacing w:after="0" w:line="245" w:lineRule="auto"/>
            </w:pPr>
            <w:r>
              <w:rPr>
                <w:sz w:val="16"/>
              </w:rPr>
              <w:t>Measure the scale and persistence of unusually low visitor volume</w:t>
            </w:r>
          </w:p>
        </w:tc>
      </w:tr>
      <w:tr>
        <w:trPr>
          <w:cantSplit/>
        </w:trPr>
        <w:tc>
          <w:tcPr>
            <w:tcW w:type="dxa" w:w="2268"/>
            <w:vAlign w:val="center"/>
            <w:tcMar>
              <w:top w:w="100" w:type="dxa"/>
              <w:start w:w="120" w:type="dxa"/>
              <w:bottom w:w="100" w:type="dxa"/>
              <w:end w:w="120" w:type="dxa"/>
            </w:tcMar>
          </w:tcPr>
          <w:p>
            <w:pPr>
              <w:spacing w:after="0" w:line="245" w:lineRule="auto"/>
            </w:pPr>
            <w:r>
              <w:rPr>
                <w:sz w:val="16"/>
              </w:rPr>
              <w:t>Recovery</w:t>
            </w:r>
          </w:p>
        </w:tc>
        <w:tc>
          <w:tcPr>
            <w:tcW w:type="dxa" w:w="1984"/>
            <w:vAlign w:val="center"/>
            <w:tcMar>
              <w:top w:w="100" w:type="dxa"/>
              <w:start w:w="120" w:type="dxa"/>
              <w:bottom w:w="100" w:type="dxa"/>
              <w:end w:w="120" w:type="dxa"/>
            </w:tcMar>
          </w:tcPr>
          <w:p>
            <w:pPr>
              <w:spacing w:after="0" w:line="245" w:lineRule="auto"/>
            </w:pPr>
            <w:r>
              <w:rPr>
                <w:sz w:val="16"/>
              </w:rPr>
              <w:t>2023 to July 2026</w:t>
            </w:r>
          </w:p>
        </w:tc>
        <w:tc>
          <w:tcPr>
            <w:tcW w:type="dxa" w:w="4649"/>
            <w:vAlign w:val="center"/>
            <w:tcMar>
              <w:top w:w="100" w:type="dxa"/>
              <w:start w:w="120" w:type="dxa"/>
              <w:bottom w:w="100" w:type="dxa"/>
              <w:end w:w="120" w:type="dxa"/>
            </w:tcMar>
          </w:tcPr>
          <w:p>
            <w:pPr>
              <w:spacing w:after="0" w:line="245" w:lineRule="auto"/>
            </w:pPr>
            <w:r>
              <w:rPr>
                <w:sz w:val="16"/>
              </w:rPr>
              <w:t>Track movement toward or beyond the matching month in 2019</w:t>
            </w:r>
          </w:p>
        </w:tc>
      </w:tr>
    </w:tbl>
    <w:p>
      <w:pPr>
        <w:pStyle w:val="Heading2"/>
      </w:pPr>
      <w:r>
        <w:rPr>
          <w:color w:val="000000"/>
        </w:rPr>
        <w:t>Research Questions</w:t>
      </w:r>
    </w:p>
    <w:p>
      <w:pPr>
        <w:pStyle w:val="ListNumber"/>
        <w:spacing w:after="50"/>
      </w:pPr>
      <w:r>
        <w:t>How did the long term level of monthly visitor arrivals change from 2008 to July 2026?</w:t>
      </w:r>
    </w:p>
    <w:p>
      <w:pPr>
        <w:pStyle w:val="ListNumber"/>
        <w:spacing w:after="50"/>
      </w:pPr>
      <w:r>
        <w:t>Which calendar months show recurring peaks and troughs, and how stable is this pattern across the three phases?</w:t>
      </w:r>
    </w:p>
    <w:p>
      <w:pPr>
        <w:pStyle w:val="ListNumber"/>
        <w:spacing w:after="50"/>
      </w:pPr>
      <w:r>
        <w:t>How large were the unusual departures from trend and seasonality during 2020 to 2022?</w:t>
      </w:r>
    </w:p>
    <w:p>
      <w:pPr>
        <w:pStyle w:val="ListNumber"/>
        <w:spacing w:after="50"/>
      </w:pPr>
      <w:r>
        <w:t>After January 2023, how quickly did each month recover relative to the same calendar month in 2019?</w:t>
      </w:r>
    </w:p>
    <w:p>
      <w:pPr>
        <w:pStyle w:val="ListNumber"/>
        <w:spacing w:after="50"/>
      </w:pPr>
      <w:r>
        <w:t>Which results remain consistent when the raw series, yearly distributions, decomposition, heatmap, and indexed recovery view are compared?</w:t>
      </w:r>
    </w:p>
    <w:p>
      <w:pPr>
        <w:pStyle w:val="Heading2"/>
      </w:pPr>
      <w:r>
        <w:rPr>
          <w:color w:val="000000"/>
        </w:rPr>
        <w:t>Revisions from Assignment 01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cantSplit/>
        </w:trPr>
        <w:tc>
          <w:tcPr>
            <w:tcW w:type="dxa" w:w="1701"/>
            <w:vAlign w:val="center"/>
            <w:tcMar>
              <w:top w:w="100" w:type="dxa"/>
              <w:start w:w="120" w:type="dxa"/>
              <w:bottom w:w="100" w:type="dxa"/>
              <w:end w:w="120" w:type="dxa"/>
            </w:tcMar>
            <w:shd w:fill="17365D"/>
          </w:tcPr>
          <w:p>
            <w:pPr>
              <w:spacing w:after="0" w:line="245" w:lineRule="auto"/>
            </w:pPr>
            <w:r>
              <w:rPr>
                <w:b/>
                <w:color w:val="FFFFFF"/>
                <w:sz w:val="16"/>
              </w:rPr>
              <w:t>Element</w:t>
            </w:r>
          </w:p>
        </w:tc>
        <w:tc>
          <w:tcPr>
            <w:tcW w:type="dxa" w:w="2948"/>
            <w:vAlign w:val="center"/>
            <w:tcMar>
              <w:top w:w="100" w:type="dxa"/>
              <w:start w:w="120" w:type="dxa"/>
              <w:bottom w:w="100" w:type="dxa"/>
              <w:end w:w="120" w:type="dxa"/>
            </w:tcMar>
            <w:shd w:fill="17365D"/>
          </w:tcPr>
          <w:p>
            <w:pPr>
              <w:spacing w:after="0" w:line="245" w:lineRule="auto"/>
            </w:pPr>
            <w:r>
              <w:rPr>
                <w:b/>
                <w:color w:val="FFFFFF"/>
                <w:sz w:val="16"/>
              </w:rPr>
              <w:t>Assignment 01</w:t>
            </w:r>
          </w:p>
        </w:tc>
        <w:tc>
          <w:tcPr>
            <w:tcW w:type="dxa" w:w="4252"/>
            <w:vAlign w:val="center"/>
            <w:tcMar>
              <w:top w:w="100" w:type="dxa"/>
              <w:start w:w="120" w:type="dxa"/>
              <w:bottom w:w="100" w:type="dxa"/>
              <w:end w:w="120" w:type="dxa"/>
            </w:tcMar>
            <w:shd w:fill="17365D"/>
          </w:tcPr>
          <w:p>
            <w:pPr>
              <w:spacing w:after="0" w:line="245" w:lineRule="auto"/>
            </w:pPr>
            <w:r>
              <w:rPr>
                <w:b/>
                <w:color w:val="FFFFFF"/>
                <w:sz w:val="16"/>
              </w:rPr>
              <w:t>Assignment 02 revision</w:t>
            </w:r>
          </w:p>
        </w:tc>
      </w:tr>
      <w:tr>
        <w:trPr>
          <w:cantSplit/>
        </w:trPr>
        <w:tc>
          <w:tcPr>
            <w:tcW w:type="dxa" w:w="1701"/>
            <w:vAlign w:val="center"/>
            <w:tcMar>
              <w:top w:w="100" w:type="dxa"/>
              <w:start w:w="120" w:type="dxa"/>
              <w:bottom w:w="100" w:type="dxa"/>
              <w:end w:w="120" w:type="dxa"/>
            </w:tcMar>
          </w:tcPr>
          <w:p>
            <w:r>
              <w:rPr>
                <w:sz w:val="16"/>
              </w:rPr>
              <w:t>Data import</w:t>
            </w:r>
          </w:p>
        </w:tc>
        <w:tc>
          <w:tcPr>
            <w:tcW w:type="dxa" w:w="2948"/>
            <w:vAlign w:val="center"/>
            <w:tcMar>
              <w:top w:w="100" w:type="dxa"/>
              <w:start w:w="120" w:type="dxa"/>
              <w:bottom w:w="100" w:type="dxa"/>
              <w:end w:w="120" w:type="dxa"/>
            </w:tcMar>
          </w:tcPr>
          <w:p>
            <w:r>
              <w:rPr>
                <w:sz w:val="16"/>
              </w:rPr>
              <w:t>223 monthly values entered as a Python literal list</w:t>
            </w:r>
          </w:p>
        </w:tc>
        <w:tc>
          <w:tcPr>
            <w:tcW w:type="dxa" w:w="4252"/>
            <w:vAlign w:val="center"/>
            <w:tcMar>
              <w:top w:w="100" w:type="dxa"/>
              <w:start w:w="120" w:type="dxa"/>
              <w:bottom w:w="100" w:type="dxa"/>
              <w:end w:w="120" w:type="dxa"/>
            </w:tcMar>
          </w:tcPr>
          <w:p>
            <w:r>
              <w:rPr>
                <w:sz w:val="16"/>
              </w:rPr>
              <w:t>Import the supplied XLS and reconcile every month and count</w:t>
            </w:r>
          </w:p>
        </w:tc>
      </w:tr>
      <w:tr>
        <w:trPr>
          <w:cantSplit/>
        </w:trPr>
        <w:tc>
          <w:tcPr>
            <w:tcW w:type="dxa" w:w="1701"/>
            <w:vAlign w:val="center"/>
            <w:tcMar>
              <w:top w:w="100" w:type="dxa"/>
              <w:start w:w="120" w:type="dxa"/>
              <w:bottom w:w="100" w:type="dxa"/>
              <w:end w:w="120" w:type="dxa"/>
            </w:tcMar>
            <w:shd w:fill="EAF2F8"/>
          </w:tcPr>
          <w:p>
            <w:pPr>
              <w:spacing w:after="0" w:line="245" w:lineRule="auto"/>
            </w:pPr>
            <w:r>
              <w:rPr>
                <w:sz w:val="16"/>
              </w:rPr>
              <w:t>Metrics</w:t>
            </w:r>
          </w:p>
        </w:tc>
        <w:tc>
          <w:tcPr>
            <w:tcW w:type="dxa" w:w="2948"/>
            <w:vAlign w:val="center"/>
            <w:tcMar>
              <w:top w:w="100" w:type="dxa"/>
              <w:start w:w="120" w:type="dxa"/>
              <w:bottom w:w="100" w:type="dxa"/>
              <w:end w:w="120" w:type="dxa"/>
            </w:tcMar>
            <w:shd w:fill="EAF2F8"/>
          </w:tcPr>
          <w:p>
            <w:r>
              <w:rPr>
                <w:sz w:val="16"/>
              </w:rPr>
              <w:t>Matching-month 2019 recovery index implemented</w:t>
            </w:r>
          </w:p>
        </w:tc>
        <w:tc>
          <w:tcPr>
            <w:tcW w:type="dxa" w:w="4252"/>
            <w:vAlign w:val="center"/>
            <w:tcMar>
              <w:top w:w="100" w:type="dxa"/>
              <w:start w:w="120" w:type="dxa"/>
              <w:bottom w:w="100" w:type="dxa"/>
              <w:end w:w="120" w:type="dxa"/>
            </w:tcMar>
            <w:shd w:fill="EAF2F8"/>
          </w:tcPr>
          <w:p>
            <w:r>
              <w:rPr>
                <w:sz w:val="16"/>
              </w:rPr>
              <w:t>Retain the index; add year-on-year growth and explicit denominator checks</w:t>
            </w:r>
          </w:p>
        </w:tc>
      </w:tr>
      <w:tr>
        <w:trPr>
          <w:cantSplit/>
        </w:trPr>
        <w:tc>
          <w:tcPr>
            <w:tcW w:type="dxa" w:w="1701"/>
            <w:vAlign w:val="center"/>
            <w:tcMar>
              <w:top w:w="100" w:type="dxa"/>
              <w:start w:w="120" w:type="dxa"/>
              <w:bottom w:w="100" w:type="dxa"/>
              <w:end w:w="120" w:type="dxa"/>
            </w:tcMar>
          </w:tcPr>
          <w:p>
            <w:pPr>
              <w:spacing w:after="0" w:line="245" w:lineRule="auto"/>
            </w:pPr>
            <w:r>
              <w:rPr>
                <w:sz w:val="16"/>
              </w:rPr>
              <w:t>Method</w:t>
            </w:r>
          </w:p>
        </w:tc>
        <w:tc>
          <w:tcPr>
            <w:tcW w:type="dxa" w:w="2948"/>
            <w:vAlign w:val="center"/>
            <w:tcMar>
              <w:top w:w="100" w:type="dxa"/>
              <w:start w:w="120" w:type="dxa"/>
              <w:bottom w:w="100" w:type="dxa"/>
              <w:end w:w="120" w:type="dxa"/>
            </w:tcMar>
          </w:tcPr>
          <w:p>
            <w:r>
              <w:rPr>
                <w:sz w:val="16"/>
              </w:rPr>
              <w:t>Additive decomposition with period 12 implemented</w:t>
            </w:r>
          </w:p>
        </w:tc>
        <w:tc>
          <w:tcPr>
            <w:tcW w:type="dxa" w:w="4252"/>
            <w:vAlign w:val="center"/>
            <w:tcMar>
              <w:top w:w="100" w:type="dxa"/>
              <w:start w:w="120" w:type="dxa"/>
              <w:bottom w:w="100" w:type="dxa"/>
              <w:end w:w="120" w:type="dxa"/>
            </w:tcMar>
          </w:tcPr>
          <w:p>
            <w:r>
              <w:rPr>
                <w:sz w:val="16"/>
              </w:rPr>
              <w:t>Audit missing months and endpoints; compare pre-2020 seasonality</w:t>
            </w:r>
          </w:p>
        </w:tc>
      </w:tr>
      <w:tr>
        <w:trPr>
          <w:cantSplit/>
        </w:trPr>
        <w:tc>
          <w:tcPr>
            <w:tcW w:type="dxa" w:w="1701"/>
            <w:vAlign w:val="center"/>
            <w:tcMar>
              <w:top w:w="100" w:type="dxa"/>
              <w:start w:w="120" w:type="dxa"/>
              <w:bottom w:w="100" w:type="dxa"/>
              <w:end w:w="120" w:type="dxa"/>
            </w:tcMar>
            <w:shd w:fill="EAF2F8"/>
          </w:tcPr>
          <w:p>
            <w:pPr>
              <w:spacing w:after="0" w:line="245" w:lineRule="auto"/>
            </w:pPr>
            <w:r>
              <w:rPr>
                <w:sz w:val="16"/>
              </w:rPr>
              <w:t>Evidence</w:t>
            </w:r>
          </w:p>
        </w:tc>
        <w:tc>
          <w:tcPr>
            <w:tcW w:type="dxa" w:w="2948"/>
            <w:vAlign w:val="center"/>
            <w:tcMar>
              <w:top w:w="100" w:type="dxa"/>
              <w:start w:w="120" w:type="dxa"/>
              <w:bottom w:w="100" w:type="dxa"/>
              <w:end w:w="120" w:type="dxa"/>
            </w:tcMar>
            <w:shd w:fill="EAF2F8"/>
          </w:tcPr>
          <w:p>
            <w:r>
              <w:rPr>
                <w:sz w:val="16"/>
              </w:rPr>
              <w:t>Five chart types implemented with saved outputs</w:t>
            </w:r>
          </w:p>
        </w:tc>
        <w:tc>
          <w:tcPr>
            <w:tcW w:type="dxa" w:w="4252"/>
            <w:vAlign w:val="center"/>
            <w:tcMar>
              <w:top w:w="100" w:type="dxa"/>
              <w:start w:w="120" w:type="dxa"/>
              <w:bottom w:w="100" w:type="dxa"/>
              <w:end w:w="120" w:type="dxa"/>
            </w:tcMar>
            <w:shd w:fill="EAF2F8"/>
          </w:tcPr>
          <w:p>
            <w:r>
              <w:rPr>
                <w:sz w:val="16"/>
              </w:rPr>
              <w:t>Improve annotations, source notes, units, and partial-year comparisons</w:t>
            </w:r>
          </w:p>
        </w:tc>
      </w:tr>
      <w:tr>
        <w:trPr>
          <w:cantSplit/>
        </w:trPr>
        <w:tc>
          <w:tcPr>
            <w:tcW w:type="dxa" w:w="1701"/>
            <w:vAlign w:val="center"/>
            <w:tcMar>
              <w:top w:w="100" w:type="dxa"/>
              <w:start w:w="120" w:type="dxa"/>
              <w:bottom w:w="100" w:type="dxa"/>
              <w:end w:w="120" w:type="dxa"/>
            </w:tcMar>
          </w:tcPr>
          <w:p>
            <w:pPr>
              <w:spacing w:after="0" w:line="245" w:lineRule="auto"/>
            </w:pPr>
            <w:r>
              <w:rPr>
                <w:sz w:val="16"/>
              </w:rPr>
              <w:t>Management</w:t>
            </w:r>
          </w:p>
        </w:tc>
        <w:tc>
          <w:tcPr>
            <w:tcW w:type="dxa" w:w="2948"/>
            <w:vAlign w:val="center"/>
            <w:tcMar>
              <w:top w:w="100" w:type="dxa"/>
              <w:start w:w="120" w:type="dxa"/>
              <w:bottom w:w="100" w:type="dxa"/>
              <w:end w:w="120" w:type="dxa"/>
            </w:tcMar>
          </w:tcPr>
          <w:p>
            <w:r>
              <w:rPr>
                <w:sz w:val="16"/>
              </w:rPr>
              <w:t>Supplied Assignment 01 prototype</w:t>
            </w:r>
          </w:p>
        </w:tc>
        <w:tc>
          <w:tcPr>
            <w:tcW w:type="dxa" w:w="4252"/>
            <w:vAlign w:val="center"/>
            <w:tcMar>
              <w:top w:w="100" w:type="dxa"/>
              <w:start w:w="120" w:type="dxa"/>
              <w:bottom w:w="100" w:type="dxa"/>
              <w:end w:w="120" w:type="dxa"/>
            </w:tcMar>
          </w:tcPr>
          <w:p>
            <w:r>
              <w:rPr>
                <w:sz w:val="16"/>
              </w:rPr>
              <w:t>Define paired responsibilities, review steps, and completion checks</w:t>
            </w:r>
          </w:p>
        </w:tc>
      </w:tr>
    </w:tbl>
    <w:p>
      <w:pPr>
        <w:pStyle w:val="Heading2"/>
      </w:pPr>
      <w:r>
        <w:rPr>
          <w:color w:val="000000"/>
        </w:rPr>
        <w:t>Expected Outcomes</w:t>
      </w:r>
    </w:p>
    <w:p>
      <w:pPr>
        <w:pStyle w:val="ListBullet"/>
        <w:spacing w:after="50"/>
      </w:pPr>
      <w:r>
        <w:t>A reproducible monthly dataset covering the 223 observed months in the supplied export, with provenance and checks against current official releases.</w:t>
      </w:r>
    </w:p>
    <w:p>
      <w:pPr>
        <w:pStyle w:val="ListBullet"/>
        <w:spacing w:after="50"/>
      </w:pPr>
      <w:r>
        <w:t>A defensible description of long term movement, annual seasonality, exceptional disruption, and the pace of recovery.</w:t>
      </w:r>
    </w:p>
    <w:p>
      <w:pPr>
        <w:pStyle w:val="ListBullet"/>
        <w:spacing w:after="50"/>
      </w:pPr>
      <w:r>
        <w:t>A coordinated visual narrative in which each chart answers a distinct part of the research question.</w:t>
      </w:r>
    </w:p>
    <w:p>
      <w:r>
        <w:br w:type="page"/>
      </w:r>
    </w:p>
    <w:p>
      <w:pPr>
        <w:pStyle w:val="Heading1"/>
      </w:pPr>
      <w:r>
        <w:rPr>
          <w:color w:val="000000"/>
        </w:rPr>
        <w:t>Data and Analytical Method</w:t>
      </w:r>
    </w:p>
    <w:p>
      <w:pPr>
        <w:pStyle w:val="Heading2"/>
      </w:pPr>
      <w:r>
        <w:rPr>
          <w:color w:val="000000"/>
        </w:rPr>
        <w:t>Official Data Sources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cantSplit/>
        </w:trPr>
        <w:tc>
          <w:tcPr>
            <w:tcW w:type="dxa" w:w="2324"/>
            <w:vAlign w:val="center"/>
            <w:tcMar>
              <w:top w:w="100" w:type="dxa"/>
              <w:start w:w="120" w:type="dxa"/>
              <w:bottom w:w="100" w:type="dxa"/>
              <w:end w:w="120" w:type="dxa"/>
            </w:tcMar>
            <w:shd w:fill="17365D"/>
          </w:tcPr>
          <w:p>
            <w:pPr>
              <w:spacing w:after="0" w:line="245" w:lineRule="auto"/>
            </w:pPr>
            <w:r>
              <w:rPr>
                <w:b/>
                <w:color w:val="FFFFFF"/>
                <w:sz w:val="16"/>
              </w:rPr>
              <w:t>Source</w:t>
            </w:r>
          </w:p>
        </w:tc>
        <w:tc>
          <w:tcPr>
            <w:tcW w:type="dxa" w:w="2608"/>
            <w:vAlign w:val="center"/>
            <w:tcMar>
              <w:top w:w="100" w:type="dxa"/>
              <w:start w:w="120" w:type="dxa"/>
              <w:bottom w:w="100" w:type="dxa"/>
              <w:end w:w="120" w:type="dxa"/>
            </w:tcMar>
            <w:shd w:fill="17365D"/>
          </w:tcPr>
          <w:p>
            <w:pPr>
              <w:spacing w:after="0" w:line="245" w:lineRule="auto"/>
            </w:pPr>
            <w:r>
              <w:rPr>
                <w:b/>
                <w:color w:val="FFFFFF"/>
                <w:sz w:val="16"/>
              </w:rPr>
              <w:t>Planned use</w:t>
            </w:r>
          </w:p>
        </w:tc>
        <w:tc>
          <w:tcPr>
            <w:tcW w:type="dxa" w:w="1814"/>
            <w:vAlign w:val="center"/>
            <w:tcMar>
              <w:top w:w="100" w:type="dxa"/>
              <w:start w:w="120" w:type="dxa"/>
              <w:bottom w:w="100" w:type="dxa"/>
              <w:end w:w="120" w:type="dxa"/>
            </w:tcMar>
            <w:shd w:fill="17365D"/>
          </w:tcPr>
          <w:p>
            <w:pPr>
              <w:spacing w:after="0" w:line="245" w:lineRule="auto"/>
            </w:pPr>
            <w:r>
              <w:rPr>
                <w:b/>
                <w:color w:val="FFFFFF"/>
                <w:sz w:val="16"/>
              </w:rPr>
              <w:t>Coverage</w:t>
            </w:r>
          </w:p>
        </w:tc>
        <w:tc>
          <w:tcPr>
            <w:tcW w:type="dxa" w:w="2154"/>
            <w:vAlign w:val="center"/>
            <w:tcMar>
              <w:top w:w="100" w:type="dxa"/>
              <w:start w:w="120" w:type="dxa"/>
              <w:bottom w:w="100" w:type="dxa"/>
              <w:end w:w="120" w:type="dxa"/>
            </w:tcMar>
            <w:shd w:fill="17365D"/>
          </w:tcPr>
          <w:p>
            <w:pPr>
              <w:spacing w:after="0" w:line="245" w:lineRule="auto"/>
            </w:pPr>
            <w:r>
              <w:rPr>
                <w:b/>
                <w:color w:val="FFFFFF"/>
                <w:sz w:val="16"/>
              </w:rPr>
              <w:t>Verification role</w:t>
            </w:r>
          </w:p>
        </w:tc>
      </w:tr>
      <w:tr>
        <w:trPr>
          <w:cantSplit/>
        </w:trPr>
        <w:tc>
          <w:tcPr>
            <w:tcW w:type="dxa" w:w="2324"/>
            <w:vAlign w:val="center"/>
            <w:tcMar>
              <w:top w:w="100" w:type="dxa"/>
              <w:start w:w="120" w:type="dxa"/>
              <w:bottom w:w="100" w:type="dxa"/>
              <w:end w:w="120" w:type="dxa"/>
            </w:tcMar>
          </w:tcPr>
          <w:p>
            <w:r>
              <w:rPr>
                <w:sz w:val="16"/>
              </w:rPr>
              <w:t>DSEC Visitor Arrivals time series</w:t>
            </w:r>
          </w:p>
        </w:tc>
        <w:tc>
          <w:tcPr>
            <w:tcW w:type="dxa" w:w="2608"/>
            <w:vAlign w:val="center"/>
            <w:tcMar>
              <w:top w:w="100" w:type="dxa"/>
              <w:start w:w="120" w:type="dxa"/>
              <w:bottom w:w="100" w:type="dxa"/>
              <w:end w:w="120" w:type="dxa"/>
            </w:tcMar>
          </w:tcPr>
          <w:p>
            <w:r>
              <w:rPr>
                <w:sz w:val="16"/>
              </w:rPr>
              <w:t>Primary monthly visitor count</w:t>
            </w:r>
          </w:p>
        </w:tc>
        <w:tc>
          <w:tcPr>
            <w:tcW w:type="dxa" w:w="1814"/>
            <w:vAlign w:val="center"/>
            <w:tcMar>
              <w:top w:w="100" w:type="dxa"/>
              <w:start w:w="120" w:type="dxa"/>
              <w:bottom w:w="100" w:type="dxa"/>
              <w:end w:w="120" w:type="dxa"/>
            </w:tcMar>
          </w:tcPr>
          <w:p>
            <w:r>
              <w:rPr>
                <w:sz w:val="16"/>
              </w:rPr>
              <w:t>Supplied export: 2008 to July 2026</w:t>
            </w:r>
          </w:p>
        </w:tc>
        <w:tc>
          <w:tcPr>
            <w:tcW w:type="dxa" w:w="2154"/>
            <w:vAlign w:val="center"/>
            <w:tcMar>
              <w:top w:w="100" w:type="dxa"/>
              <w:start w:w="120" w:type="dxa"/>
              <w:bottom w:w="100" w:type="dxa"/>
              <w:end w:w="120" w:type="dxa"/>
            </w:tcMar>
          </w:tcPr>
          <w:p>
            <w:r>
              <w:rPr>
                <w:sz w:val="16"/>
              </w:rPr>
              <w:t>Reconcile exported observations and official definitions</w:t>
            </w:r>
          </w:p>
        </w:tc>
      </w:tr>
      <w:tr>
        <w:trPr>
          <w:cantSplit/>
        </w:trPr>
        <w:tc>
          <w:tcPr>
            <w:tcW w:type="dxa" w:w="2324"/>
            <w:vAlign w:val="center"/>
            <w:tcMar>
              <w:top w:w="100" w:type="dxa"/>
              <w:start w:w="120" w:type="dxa"/>
              <w:bottom w:w="100" w:type="dxa"/>
              <w:end w:w="120" w:type="dxa"/>
            </w:tcMar>
            <w:shd w:fill="EAF2F8"/>
          </w:tcPr>
          <w:p>
            <w:r>
              <w:rPr>
                <w:sz w:val="16"/>
              </w:rPr>
              <w:t>MGTO Tourism Data Plus Total Visitor Arrivals</w:t>
            </w:r>
          </w:p>
        </w:tc>
        <w:tc>
          <w:tcPr>
            <w:tcW w:type="dxa" w:w="2608"/>
            <w:vAlign w:val="center"/>
            <w:tcMar>
              <w:top w:w="100" w:type="dxa"/>
              <w:start w:w="120" w:type="dxa"/>
              <w:bottom w:w="100" w:type="dxa"/>
              <w:end w:w="120" w:type="dxa"/>
            </w:tcMar>
            <w:shd w:fill="EAF2F8"/>
          </w:tcPr>
          <w:p>
            <w:r>
              <w:rPr>
                <w:sz w:val="16"/>
              </w:rPr>
              <w:t>Monthly and annual cross-check</w:t>
            </w:r>
          </w:p>
        </w:tc>
        <w:tc>
          <w:tcPr>
            <w:tcW w:type="dxa" w:w="1814"/>
            <w:vAlign w:val="center"/>
            <w:tcMar>
              <w:top w:w="100" w:type="dxa"/>
              <w:start w:w="120" w:type="dxa"/>
              <w:bottom w:w="100" w:type="dxa"/>
              <w:end w:w="120" w:type="dxa"/>
            </w:tcMar>
            <w:shd w:fill="EAF2F8"/>
          </w:tcPr>
          <w:p>
            <w:r>
              <w:rPr>
                <w:sz w:val="16"/>
              </w:rPr>
              <w:t>Available monthly CSV exports</w:t>
            </w:r>
          </w:p>
        </w:tc>
        <w:tc>
          <w:tcPr>
            <w:tcW w:type="dxa" w:w="2154"/>
            <w:vAlign w:val="center"/>
            <w:tcMar>
              <w:top w:w="100" w:type="dxa"/>
              <w:start w:w="120" w:type="dxa"/>
              <w:bottom w:w="100" w:type="dxa"/>
              <w:end w:w="120" w:type="dxa"/>
            </w:tcMar>
            <w:shd w:fill="EAF2F8"/>
          </w:tcPr>
          <w:p>
            <w:r>
              <w:rPr>
                <w:sz w:val="16"/>
              </w:rPr>
              <w:t>Cross-publication check of DSEC-based totals</w:t>
            </w:r>
          </w:p>
        </w:tc>
      </w:tr>
    </w:tbl>
    <w:p>
      <w:r>
        <w:rPr>
          <w:b/>
        </w:rPr>
        <w:t xml:space="preserve">Official links  </w:t>
      </w:r>
      <w:hyperlink r:id="rId9">
        <w:r>
          <w:rPr>
            <w:color w:val="0563C1"/>
            <w:u w:val="single"/>
          </w:rPr>
          <w:t>DSEC Statistics Database</w:t>
        </w:r>
      </w:hyperlink>
      <w:r>
        <w:t xml:space="preserve">  </w:t>
      </w:r>
      <w:hyperlink r:id="rId10">
        <w:r>
          <w:rPr>
            <w:color w:val="0563C1"/>
            <w:u w:val="single"/>
          </w:rPr>
          <w:t>Macao Tourism Data Plus</w:t>
        </w:r>
      </w:hyperlink>
      <w:r>
        <w:t xml:space="preserve">  </w:t>
      </w:r>
    </w:p>
    <w:p>
      <w:pPr>
        <w:pStyle w:val="Heading2"/>
      </w:pPr>
      <w:r>
        <w:rPr>
          <w:color w:val="000000"/>
        </w:rPr>
        <w:t>Data Structure and Derived Indicators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cantSplit/>
        </w:trPr>
        <w:tc>
          <w:tcPr>
            <w:tcW w:type="dxa" w:w="1928"/>
            <w:vAlign w:val="center"/>
            <w:tcMar>
              <w:top w:w="100" w:type="dxa"/>
              <w:start w:w="120" w:type="dxa"/>
              <w:bottom w:w="100" w:type="dxa"/>
              <w:end w:w="120" w:type="dxa"/>
            </w:tcMar>
            <w:shd w:fill="17365D"/>
          </w:tcPr>
          <w:p>
            <w:pPr>
              <w:spacing w:after="0" w:line="245" w:lineRule="auto"/>
            </w:pPr>
            <w:r>
              <w:rPr>
                <w:b/>
                <w:color w:val="FFFFFF"/>
                <w:sz w:val="16"/>
              </w:rPr>
              <w:t>Field</w:t>
            </w:r>
          </w:p>
        </w:tc>
        <w:tc>
          <w:tcPr>
            <w:tcW w:type="dxa" w:w="4025"/>
            <w:vAlign w:val="center"/>
            <w:tcMar>
              <w:top w:w="100" w:type="dxa"/>
              <w:start w:w="120" w:type="dxa"/>
              <w:bottom w:w="100" w:type="dxa"/>
              <w:end w:w="120" w:type="dxa"/>
            </w:tcMar>
            <w:shd w:fill="17365D"/>
          </w:tcPr>
          <w:p>
            <w:pPr>
              <w:spacing w:after="0" w:line="245" w:lineRule="auto"/>
            </w:pPr>
            <w:r>
              <w:rPr>
                <w:b/>
                <w:color w:val="FFFFFF"/>
                <w:sz w:val="16"/>
              </w:rPr>
              <w:t>Definition</w:t>
            </w:r>
          </w:p>
        </w:tc>
        <w:tc>
          <w:tcPr>
            <w:tcW w:type="dxa" w:w="2948"/>
            <w:vAlign w:val="center"/>
            <w:tcMar>
              <w:top w:w="100" w:type="dxa"/>
              <w:start w:w="120" w:type="dxa"/>
              <w:bottom w:w="100" w:type="dxa"/>
              <w:end w:w="120" w:type="dxa"/>
            </w:tcMar>
            <w:shd w:fill="17365D"/>
          </w:tcPr>
          <w:p>
            <w:pPr>
              <w:spacing w:after="0" w:line="245" w:lineRule="auto"/>
            </w:pPr>
            <w:r>
              <w:rPr>
                <w:b/>
                <w:color w:val="FFFFFF"/>
                <w:sz w:val="16"/>
              </w:rPr>
              <w:t>Rule</w:t>
            </w:r>
          </w:p>
        </w:tc>
      </w:tr>
      <w:tr>
        <w:trPr>
          <w:cantSplit/>
        </w:trPr>
        <w:tc>
          <w:tcPr>
            <w:tcW w:type="dxa" w:w="1928"/>
            <w:vAlign w:val="center"/>
            <w:tcMar>
              <w:top w:w="100" w:type="dxa"/>
              <w:start w:w="120" w:type="dxa"/>
              <w:bottom w:w="100" w:type="dxa"/>
              <w:end w:w="120" w:type="dxa"/>
            </w:tcMar>
          </w:tcPr>
          <w:p>
            <w:pPr>
              <w:spacing w:after="0" w:line="245" w:lineRule="auto"/>
            </w:pPr>
            <w:r>
              <w:rPr>
                <w:sz w:val="16"/>
              </w:rPr>
              <w:t>month</w:t>
            </w:r>
          </w:p>
        </w:tc>
        <w:tc>
          <w:tcPr>
            <w:tcW w:type="dxa" w:w="4025"/>
            <w:vAlign w:val="center"/>
            <w:tcMar>
              <w:top w:w="100" w:type="dxa"/>
              <w:start w:w="120" w:type="dxa"/>
              <w:bottom w:w="100" w:type="dxa"/>
              <w:end w:w="120" w:type="dxa"/>
            </w:tcMar>
          </w:tcPr>
          <w:p>
            <w:pPr>
              <w:spacing w:after="0" w:line="245" w:lineRule="auto"/>
            </w:pPr>
            <w:r>
              <w:rPr>
                <w:sz w:val="16"/>
              </w:rPr>
              <w:t>First day of each calendar month</w:t>
            </w:r>
          </w:p>
        </w:tc>
        <w:tc>
          <w:tcPr>
            <w:tcW w:type="dxa" w:w="2948"/>
            <w:vAlign w:val="center"/>
            <w:tcMar>
              <w:top w:w="100" w:type="dxa"/>
              <w:start w:w="120" w:type="dxa"/>
              <w:bottom w:w="100" w:type="dxa"/>
              <w:end w:w="120" w:type="dxa"/>
            </w:tcMar>
          </w:tcPr>
          <w:p>
            <w:pPr>
              <w:spacing w:after="0" w:line="245" w:lineRule="auto"/>
            </w:pPr>
            <w:r>
              <w:rPr>
                <w:sz w:val="16"/>
              </w:rPr>
              <w:t>Unique chronological pandas datetime index</w:t>
            </w:r>
          </w:p>
        </w:tc>
      </w:tr>
      <w:tr>
        <w:trPr>
          <w:cantSplit/>
        </w:trPr>
        <w:tc>
          <w:tcPr>
            <w:tcW w:type="dxa" w:w="1928"/>
            <w:vAlign w:val="center"/>
            <w:tcMar>
              <w:top w:w="100" w:type="dxa"/>
              <w:start w:w="120" w:type="dxa"/>
              <w:bottom w:w="100" w:type="dxa"/>
              <w:end w:w="120" w:type="dxa"/>
            </w:tcMar>
            <w:shd w:fill="EAF2F8"/>
          </w:tcPr>
          <w:p>
            <w:pPr>
              <w:spacing w:after="0" w:line="245" w:lineRule="auto"/>
            </w:pPr>
            <w:r>
              <w:rPr>
                <w:sz w:val="16"/>
              </w:rPr>
              <w:t>visitor_arrivals</w:t>
            </w:r>
          </w:p>
        </w:tc>
        <w:tc>
          <w:tcPr>
            <w:tcW w:type="dxa" w:w="4025"/>
            <w:vAlign w:val="center"/>
            <w:tcMar>
              <w:top w:w="100" w:type="dxa"/>
              <w:start w:w="120" w:type="dxa"/>
              <w:bottom w:w="100" w:type="dxa"/>
              <w:end w:w="120" w:type="dxa"/>
            </w:tcMar>
            <w:shd w:fill="EAF2F8"/>
          </w:tcPr>
          <w:p>
            <w:r>
              <w:rPr>
                <w:sz w:val="16"/>
              </w:rPr>
              <w:t>Monthly visitor-arrival count</w:t>
            </w:r>
          </w:p>
        </w:tc>
        <w:tc>
          <w:tcPr>
            <w:tcW w:type="dxa" w:w="2948"/>
            <w:vAlign w:val="center"/>
            <w:tcMar>
              <w:top w:w="100" w:type="dxa"/>
              <w:start w:w="120" w:type="dxa"/>
              <w:bottom w:w="100" w:type="dxa"/>
              <w:end w:w="120" w:type="dxa"/>
            </w:tcMar>
            <w:shd w:fill="EAF2F8"/>
          </w:tcPr>
          <w:p>
            <w:r>
              <w:rPr>
                <w:sz w:val="16"/>
              </w:rPr>
              <w:t>Nonnegative integer; arrival count, not unique individuals</w:t>
            </w:r>
          </w:p>
        </w:tc>
      </w:tr>
      <w:tr>
        <w:trPr>
          <w:cantSplit/>
        </w:trPr>
        <w:tc>
          <w:tcPr>
            <w:tcW w:type="dxa" w:w="1928"/>
            <w:vAlign w:val="center"/>
            <w:tcMar>
              <w:top w:w="100" w:type="dxa"/>
              <w:start w:w="120" w:type="dxa"/>
              <w:bottom w:w="100" w:type="dxa"/>
              <w:end w:w="120" w:type="dxa"/>
            </w:tcMar>
          </w:tcPr>
          <w:p>
            <w:pPr>
              <w:spacing w:after="0" w:line="245" w:lineRule="auto"/>
            </w:pPr>
            <w:r>
              <w:rPr>
                <w:sz w:val="16"/>
              </w:rPr>
              <w:t>phase</w:t>
            </w:r>
          </w:p>
        </w:tc>
        <w:tc>
          <w:tcPr>
            <w:tcW w:type="dxa" w:w="4025"/>
            <w:vAlign w:val="center"/>
            <w:tcMar>
              <w:top w:w="100" w:type="dxa"/>
              <w:start w:w="120" w:type="dxa"/>
              <w:bottom w:w="100" w:type="dxa"/>
              <w:end w:w="120" w:type="dxa"/>
            </w:tcMar>
          </w:tcPr>
          <w:p>
            <w:pPr>
              <w:spacing w:after="0" w:line="245" w:lineRule="auto"/>
            </w:pPr>
            <w:r>
              <w:rPr>
                <w:sz w:val="16"/>
              </w:rPr>
              <w:t>Growth and baseline, disruption, or recovery</w:t>
            </w:r>
          </w:p>
        </w:tc>
        <w:tc>
          <w:tcPr>
            <w:tcW w:type="dxa" w:w="2948"/>
            <w:vAlign w:val="center"/>
            <w:tcMar>
              <w:top w:w="100" w:type="dxa"/>
              <w:start w:w="120" w:type="dxa"/>
              <w:bottom w:w="100" w:type="dxa"/>
              <w:end w:w="120" w:type="dxa"/>
            </w:tcMar>
          </w:tcPr>
          <w:p>
            <w:pPr>
              <w:spacing w:after="0" w:line="245" w:lineRule="auto"/>
            </w:pPr>
            <w:r>
              <w:rPr>
                <w:sz w:val="16"/>
              </w:rPr>
              <w:t>Assigned from the stated period boundaries</w:t>
            </w:r>
          </w:p>
        </w:tc>
      </w:tr>
      <w:tr>
        <w:trPr>
          <w:cantSplit/>
        </w:trPr>
        <w:tc>
          <w:tcPr>
            <w:tcW w:type="dxa" w:w="1928"/>
            <w:vAlign w:val="center"/>
            <w:tcMar>
              <w:top w:w="100" w:type="dxa"/>
              <w:start w:w="120" w:type="dxa"/>
              <w:bottom w:w="100" w:type="dxa"/>
              <w:end w:w="120" w:type="dxa"/>
            </w:tcMar>
            <w:shd w:fill="EAF2F8"/>
          </w:tcPr>
          <w:p>
            <w:pPr>
              <w:spacing w:after="0" w:line="245" w:lineRule="auto"/>
            </w:pPr>
            <w:r>
              <w:rPr>
                <w:sz w:val="16"/>
              </w:rPr>
              <w:t>yoy_pct</w:t>
            </w:r>
          </w:p>
        </w:tc>
        <w:tc>
          <w:tcPr>
            <w:tcW w:type="dxa" w:w="4025"/>
            <w:vAlign w:val="center"/>
            <w:tcMar>
              <w:top w:w="100" w:type="dxa"/>
              <w:start w:w="120" w:type="dxa"/>
              <w:bottom w:w="100" w:type="dxa"/>
              <w:end w:w="120" w:type="dxa"/>
            </w:tcMar>
            <w:shd w:fill="EAF2F8"/>
          </w:tcPr>
          <w:p>
            <w:pPr>
              <w:spacing w:after="0" w:line="245" w:lineRule="auto"/>
            </w:pPr>
            <w:r>
              <w:rPr>
                <w:sz w:val="16"/>
              </w:rPr>
              <w:t>Change from the same month one year earlier</w:t>
            </w:r>
          </w:p>
        </w:tc>
        <w:tc>
          <w:tcPr>
            <w:tcW w:type="dxa" w:w="2948"/>
            <w:vAlign w:val="center"/>
            <w:tcMar>
              <w:top w:w="100" w:type="dxa"/>
              <w:start w:w="120" w:type="dxa"/>
              <w:bottom w:w="100" w:type="dxa"/>
              <w:end w:w="120" w:type="dxa"/>
            </w:tcMar>
            <w:shd w:fill="EAF2F8"/>
          </w:tcPr>
          <w:p>
            <w:pPr>
              <w:spacing w:after="0" w:line="245" w:lineRule="auto"/>
            </w:pPr>
            <w:r>
              <w:rPr>
                <w:sz w:val="16"/>
              </w:rPr>
              <w:t>100 * (A_t / A_t-12 - 1)</w:t>
            </w:r>
          </w:p>
        </w:tc>
      </w:tr>
      <w:tr>
        <w:trPr>
          <w:cantSplit/>
        </w:trPr>
        <w:tc>
          <w:tcPr>
            <w:tcW w:type="dxa" w:w="1928"/>
            <w:vAlign w:val="center"/>
            <w:tcMar>
              <w:top w:w="100" w:type="dxa"/>
              <w:start w:w="120" w:type="dxa"/>
              <w:bottom w:w="100" w:type="dxa"/>
              <w:end w:w="120" w:type="dxa"/>
            </w:tcMar>
          </w:tcPr>
          <w:p>
            <w:pPr>
              <w:spacing w:after="0" w:line="245" w:lineRule="auto"/>
            </w:pPr>
            <w:r>
              <w:rPr>
                <w:sz w:val="16"/>
              </w:rPr>
              <w:t>recovery_index</w:t>
            </w:r>
          </w:p>
        </w:tc>
        <w:tc>
          <w:tcPr>
            <w:tcW w:type="dxa" w:w="4025"/>
            <w:vAlign w:val="center"/>
            <w:tcMar>
              <w:top w:w="100" w:type="dxa"/>
              <w:start w:w="120" w:type="dxa"/>
              <w:bottom w:w="100" w:type="dxa"/>
              <w:end w:w="120" w:type="dxa"/>
            </w:tcMar>
          </w:tcPr>
          <w:p>
            <w:pPr>
              <w:spacing w:after="0" w:line="245" w:lineRule="auto"/>
            </w:pPr>
            <w:r>
              <w:rPr>
                <w:sz w:val="16"/>
              </w:rPr>
              <w:t>Recovery against the matching month in 2019</w:t>
            </w:r>
          </w:p>
        </w:tc>
        <w:tc>
          <w:tcPr>
            <w:tcW w:type="dxa" w:w="2948"/>
            <w:vAlign w:val="center"/>
            <w:tcMar>
              <w:top w:w="100" w:type="dxa"/>
              <w:start w:w="120" w:type="dxa"/>
              <w:bottom w:w="100" w:type="dxa"/>
              <w:end w:w="120" w:type="dxa"/>
            </w:tcMar>
          </w:tcPr>
          <w:p>
            <w:pPr>
              <w:spacing w:after="0" w:line="245" w:lineRule="auto"/>
            </w:pPr>
            <w:r>
              <w:rPr>
                <w:sz w:val="16"/>
              </w:rPr>
              <w:t>100 * A_t / A_2019_matching_month</w:t>
            </w:r>
          </w:p>
        </w:tc>
      </w:tr>
    </w:tbl>
    <w:p>
      <w:pPr>
        <w:pStyle w:val="Heading2"/>
      </w:pPr>
      <w:r>
        <w:rPr>
          <w:color w:val="000000"/>
        </w:rPr>
        <w:t>Reproducible Workflow</w:t>
      </w:r>
    </w:p>
    <w:p>
      <w:pPr>
        <w:pStyle w:val="ListBullet"/>
        <w:spacing w:after="50"/>
      </w:pPr>
      <w:r>
        <w:t>Download and preserve untouched source files, then record source name, URL, retrieval date, unit, and any official notes.</w:t>
      </w:r>
    </w:p>
    <w:p>
      <w:pPr>
        <w:pStyle w:val="ListBullet"/>
        <w:spacing w:after="50"/>
      </w:pPr>
      <w:r>
        <w:t>Parse dates, convert counts to numeric values, sort by month, and test for duplicate or missing months.</w:t>
      </w:r>
    </w:p>
    <w:p>
      <w:pPr>
        <w:pStyle w:val="ListBullet"/>
        <w:spacing w:after="50"/>
      </w:pPr>
      <w:r>
        <w:t>Confirm 223 unique monthly positions from January 2008 to July 2026. Read the XLS data sheet tmp8017, remove its ten heading rows, forward-fill year labels, and parse the month names; ignore the Document map navigation sheet.</w:t>
      </w:r>
    </w:p>
    <w:p>
      <w:pPr>
        <w:pStyle w:val="ListBullet"/>
        <w:spacing w:after="50"/>
      </w:pPr>
      <w:r>
        <w:t>Compare every imported date and count against the Assignment 01 literal list. Then check selected months and annual sums against official releases, recording revisions and definitions. Agreement between our two supplied files is not independent source verification.</w:t>
      </w:r>
    </w:p>
    <w:p>
      <w:pPr>
        <w:pStyle w:val="ListBullet"/>
        <w:spacing w:after="50"/>
      </w:pPr>
      <w:r>
        <w:t>Retain recovery_index = 100 × A(t) / A(2019, matching month). Add yoy_pct = 100 × (A(t) / A(t−12) − 1). Require nonzero denominators and hand-check selected months; the first 12 year-on-year values are missing by design.</w:t>
      </w:r>
    </w:p>
    <w:p>
      <w:pPr>
        <w:pStyle w:val="ListBullet"/>
        <w:spacing w:after="50"/>
      </w:pPr>
      <w:r>
        <w:t>Retain additive seasonal decomposition with period 12. Check regular monthly spacing and missing values first; do not silently interpolate. Report endpoint NaNs from the centered trend estimate and compare the full-series seasonal pattern with 2008–2019.</w:t>
      </w:r>
    </w:p>
    <w:p>
      <w:r>
        <w:br w:type="page"/>
      </w:r>
    </w:p>
    <w:p>
      <w:pPr>
        <w:pStyle w:val="Heading1"/>
      </w:pPr>
      <w:r>
        <w:rPr>
          <w:color w:val="000000"/>
        </w:rPr>
        <w:t>Visualization Plan and Deliverables</w:t>
      </w:r>
    </w:p>
    <w:p>
      <w:r>
        <w:t>The five existing figures answer complementary questions. The line chart shows changes in visitor volume and unusual troughs. Decomposition separates an estimated trend, repeating annual cycle, and residual. Together, they help distinguish recurring patterns from exceptional departures; these components do not establish causality.</w:t>
      </w:r>
    </w:p>
    <w:p>
      <w:r>
        <w:t>The box plot and heatmap compare within-year variation and calendar patterns. The recovery index compares each month with its 2019 counterpart. We will label 2026 as January–July, leave August–December blank, and compare January–July across years. Index 100 means equal visitor volume, not recovery in tourism spending.</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cantSplit/>
        </w:trPr>
        <w:tc>
          <w:tcPr>
            <w:tcW w:type="dxa" w:w="2041"/>
            <w:vAlign w:val="center"/>
            <w:tcMar>
              <w:top w:w="100" w:type="dxa"/>
              <w:start w:w="120" w:type="dxa"/>
              <w:bottom w:w="100" w:type="dxa"/>
              <w:end w:w="120" w:type="dxa"/>
            </w:tcMar>
            <w:shd w:fill="17365D"/>
          </w:tcPr>
          <w:p>
            <w:pPr>
              <w:spacing w:after="0" w:line="245" w:lineRule="auto"/>
            </w:pPr>
            <w:r>
              <w:rPr>
                <w:b/>
                <w:color w:val="FFFFFF"/>
                <w:sz w:val="16"/>
              </w:rPr>
              <w:t>Figure</w:t>
            </w:r>
          </w:p>
        </w:tc>
        <w:tc>
          <w:tcPr>
            <w:tcW w:type="dxa" w:w="3458"/>
            <w:vAlign w:val="center"/>
            <w:tcMar>
              <w:top w:w="100" w:type="dxa"/>
              <w:start w:w="120" w:type="dxa"/>
              <w:bottom w:w="100" w:type="dxa"/>
              <w:end w:w="120" w:type="dxa"/>
            </w:tcMar>
            <w:shd w:fill="17365D"/>
          </w:tcPr>
          <w:p>
            <w:pPr>
              <w:spacing w:after="0" w:line="245" w:lineRule="auto"/>
            </w:pPr>
            <w:r>
              <w:rPr>
                <w:b/>
                <w:color w:val="FFFFFF"/>
                <w:sz w:val="16"/>
              </w:rPr>
              <w:t>Question answered</w:t>
            </w:r>
          </w:p>
        </w:tc>
        <w:tc>
          <w:tcPr>
            <w:tcW w:type="dxa" w:w="3402"/>
            <w:vAlign w:val="center"/>
            <w:tcMar>
              <w:top w:w="100" w:type="dxa"/>
              <w:start w:w="120" w:type="dxa"/>
              <w:bottom w:w="100" w:type="dxa"/>
              <w:end w:w="120" w:type="dxa"/>
            </w:tcMar>
            <w:shd w:fill="17365D"/>
          </w:tcPr>
          <w:p>
            <w:pPr>
              <w:spacing w:after="0" w:line="245" w:lineRule="auto"/>
            </w:pPr>
            <w:r>
              <w:rPr>
                <w:b/>
                <w:color w:val="FFFFFF"/>
                <w:sz w:val="16"/>
              </w:rPr>
              <w:t>Interpretation guardrail</w:t>
            </w:r>
          </w:p>
        </w:tc>
      </w:tr>
      <w:tr>
        <w:trPr>
          <w:cantSplit/>
        </w:trPr>
        <w:tc>
          <w:tcPr>
            <w:tcW w:type="dxa" w:w="2041"/>
            <w:vAlign w:val="center"/>
            <w:tcMar>
              <w:top w:w="100" w:type="dxa"/>
              <w:start w:w="120" w:type="dxa"/>
              <w:bottom w:w="100" w:type="dxa"/>
              <w:end w:w="120" w:type="dxa"/>
            </w:tcMar>
          </w:tcPr>
          <w:p>
            <w:pPr>
              <w:spacing w:after="0" w:line="245" w:lineRule="auto"/>
            </w:pPr>
            <w:r>
              <w:rPr>
                <w:sz w:val="16"/>
              </w:rPr>
              <w:t>Monthly line chart</w:t>
            </w:r>
          </w:p>
        </w:tc>
        <w:tc>
          <w:tcPr>
            <w:tcW w:type="dxa" w:w="3458"/>
            <w:vAlign w:val="center"/>
            <w:tcMar>
              <w:top w:w="100" w:type="dxa"/>
              <w:start w:w="120" w:type="dxa"/>
              <w:bottom w:w="100" w:type="dxa"/>
              <w:end w:w="120" w:type="dxa"/>
            </w:tcMar>
          </w:tcPr>
          <w:p>
            <w:pPr>
              <w:spacing w:after="0" w:line="245" w:lineRule="auto"/>
            </w:pPr>
            <w:r>
              <w:rPr>
                <w:sz w:val="16"/>
              </w:rPr>
              <w:t>When did growth, collapse, and recovery occur?</w:t>
            </w:r>
          </w:p>
        </w:tc>
        <w:tc>
          <w:tcPr>
            <w:tcW w:type="dxa" w:w="3402"/>
            <w:vAlign w:val="center"/>
            <w:tcMar>
              <w:top w:w="100" w:type="dxa"/>
              <w:start w:w="120" w:type="dxa"/>
              <w:bottom w:w="100" w:type="dxa"/>
              <w:end w:w="120" w:type="dxa"/>
            </w:tcMar>
          </w:tcPr>
          <w:p>
            <w:r>
              <w:rPr>
                <w:sz w:val="16"/>
              </w:rPr>
              <w:t>Validate event labels; show very low counts as exact counts or thousands, not rounded 0.0M</w:t>
            </w:r>
          </w:p>
        </w:tc>
      </w:tr>
      <w:tr>
        <w:trPr>
          <w:cantSplit/>
        </w:trPr>
        <w:tc>
          <w:tcPr>
            <w:tcW w:type="dxa" w:w="2041"/>
            <w:vAlign w:val="center"/>
            <w:tcMar>
              <w:top w:w="100" w:type="dxa"/>
              <w:start w:w="120" w:type="dxa"/>
              <w:bottom w:w="100" w:type="dxa"/>
              <w:end w:w="120" w:type="dxa"/>
            </w:tcMar>
            <w:shd w:fill="EAF2F8"/>
          </w:tcPr>
          <w:p>
            <w:pPr>
              <w:spacing w:after="0" w:line="245" w:lineRule="auto"/>
            </w:pPr>
            <w:r>
              <w:rPr>
                <w:sz w:val="16"/>
              </w:rPr>
              <w:t>Seasonal decomposition</w:t>
            </w:r>
          </w:p>
        </w:tc>
        <w:tc>
          <w:tcPr>
            <w:tcW w:type="dxa" w:w="3458"/>
            <w:vAlign w:val="center"/>
            <w:tcMar>
              <w:top w:w="100" w:type="dxa"/>
              <w:start w:w="120" w:type="dxa"/>
              <w:bottom w:w="100" w:type="dxa"/>
              <w:end w:w="120" w:type="dxa"/>
            </w:tcMar>
            <w:shd w:fill="EAF2F8"/>
          </w:tcPr>
          <w:p>
            <w:pPr>
              <w:spacing w:after="0" w:line="245" w:lineRule="auto"/>
            </w:pPr>
            <w:r>
              <w:rPr>
                <w:sz w:val="16"/>
              </w:rPr>
              <w:t>What portion resembles trend, a 12 month cycle, or a residual?</w:t>
            </w:r>
          </w:p>
        </w:tc>
        <w:tc>
          <w:tcPr>
            <w:tcW w:type="dxa" w:w="3402"/>
            <w:vAlign w:val="center"/>
            <w:tcMar>
              <w:top w:w="100" w:type="dxa"/>
              <w:start w:w="120" w:type="dxa"/>
              <w:bottom w:w="100" w:type="dxa"/>
              <w:end w:w="120" w:type="dxa"/>
            </w:tcMar>
            <w:shd w:fill="EAF2F8"/>
          </w:tcPr>
          <w:p>
            <w:pPr>
              <w:spacing w:after="0" w:line="245" w:lineRule="auto"/>
            </w:pPr>
            <w:r>
              <w:rPr>
                <w:sz w:val="16"/>
              </w:rPr>
              <w:t>Components are descriptive and do not prove causality</w:t>
            </w:r>
          </w:p>
        </w:tc>
      </w:tr>
      <w:tr>
        <w:trPr>
          <w:cantSplit/>
        </w:trPr>
        <w:tc>
          <w:tcPr>
            <w:tcW w:type="dxa" w:w="2041"/>
            <w:vAlign w:val="center"/>
            <w:tcMar>
              <w:top w:w="100" w:type="dxa"/>
              <w:start w:w="120" w:type="dxa"/>
              <w:bottom w:w="100" w:type="dxa"/>
              <w:end w:w="120" w:type="dxa"/>
            </w:tcMar>
          </w:tcPr>
          <w:p>
            <w:pPr>
              <w:spacing w:after="0" w:line="245" w:lineRule="auto"/>
            </w:pPr>
            <w:r>
              <w:rPr>
                <w:sz w:val="16"/>
              </w:rPr>
              <w:t>Yearly box plot</w:t>
            </w:r>
          </w:p>
        </w:tc>
        <w:tc>
          <w:tcPr>
            <w:tcW w:type="dxa" w:w="3458"/>
            <w:vAlign w:val="center"/>
            <w:tcMar>
              <w:top w:w="100" w:type="dxa"/>
              <w:start w:w="120" w:type="dxa"/>
              <w:bottom w:w="100" w:type="dxa"/>
              <w:end w:w="120" w:type="dxa"/>
            </w:tcMar>
          </w:tcPr>
          <w:p>
            <w:pPr>
              <w:spacing w:after="0" w:line="245" w:lineRule="auto"/>
            </w:pPr>
            <w:r>
              <w:rPr>
                <w:sz w:val="16"/>
              </w:rPr>
              <w:t>How did median level and within year spread change?</w:t>
            </w:r>
          </w:p>
        </w:tc>
        <w:tc>
          <w:tcPr>
            <w:tcW w:type="dxa" w:w="3402"/>
            <w:vAlign w:val="center"/>
            <w:tcMar>
              <w:top w:w="100" w:type="dxa"/>
              <w:start w:w="120" w:type="dxa"/>
              <w:bottom w:w="100" w:type="dxa"/>
              <w:end w:w="120" w:type="dxa"/>
            </w:tcMar>
          </w:tcPr>
          <w:p>
            <w:r>
              <w:rPr>
                <w:sz w:val="16"/>
              </w:rPr>
              <w:t>2026 contains seven months; compare Jan–Jul across years and disclose unequal sample sizes</w:t>
            </w:r>
          </w:p>
        </w:tc>
      </w:tr>
      <w:tr>
        <w:trPr>
          <w:cantSplit/>
        </w:trPr>
        <w:tc>
          <w:tcPr>
            <w:tcW w:type="dxa" w:w="2041"/>
            <w:vAlign w:val="center"/>
            <w:tcMar>
              <w:top w:w="100" w:type="dxa"/>
              <w:start w:w="120" w:type="dxa"/>
              <w:bottom w:w="100" w:type="dxa"/>
              <w:end w:w="120" w:type="dxa"/>
            </w:tcMar>
            <w:shd w:fill="EAF2F8"/>
          </w:tcPr>
          <w:p>
            <w:pPr>
              <w:spacing w:after="0" w:line="245" w:lineRule="auto"/>
            </w:pPr>
            <w:r>
              <w:rPr>
                <w:sz w:val="16"/>
              </w:rPr>
              <w:t>Month year heatmap</w:t>
            </w:r>
          </w:p>
        </w:tc>
        <w:tc>
          <w:tcPr>
            <w:tcW w:type="dxa" w:w="3458"/>
            <w:vAlign w:val="center"/>
            <w:tcMar>
              <w:top w:w="100" w:type="dxa"/>
              <w:start w:w="120" w:type="dxa"/>
              <w:bottom w:w="100" w:type="dxa"/>
              <w:end w:w="120" w:type="dxa"/>
            </w:tcMar>
            <w:shd w:fill="EAF2F8"/>
          </w:tcPr>
          <w:p>
            <w:pPr>
              <w:spacing w:after="0" w:line="245" w:lineRule="auto"/>
            </w:pPr>
            <w:r>
              <w:rPr>
                <w:sz w:val="16"/>
              </w:rPr>
              <w:t>Which months repeatedly show high or low volume?</w:t>
            </w:r>
          </w:p>
        </w:tc>
        <w:tc>
          <w:tcPr>
            <w:tcW w:type="dxa" w:w="3402"/>
            <w:vAlign w:val="center"/>
            <w:tcMar>
              <w:top w:w="100" w:type="dxa"/>
              <w:start w:w="120" w:type="dxa"/>
              <w:bottom w:w="100" w:type="dxa"/>
              <w:end w:w="120" w:type="dxa"/>
            </w:tcMar>
            <w:shd w:fill="EAF2F8"/>
          </w:tcPr>
          <w:p>
            <w:r>
              <w:rPr>
                <w:sz w:val="16"/>
              </w:rPr>
              <w:t>Use one color scale; label the count unit and mask missing Aug–Dec 2026 cells</w:t>
            </w:r>
          </w:p>
        </w:tc>
      </w:tr>
      <w:tr>
        <w:trPr>
          <w:cantSplit/>
        </w:trPr>
        <w:tc>
          <w:tcPr>
            <w:tcW w:type="dxa" w:w="2041"/>
            <w:vAlign w:val="center"/>
            <w:tcMar>
              <w:top w:w="100" w:type="dxa"/>
              <w:start w:w="120" w:type="dxa"/>
              <w:bottom w:w="100" w:type="dxa"/>
              <w:end w:w="120" w:type="dxa"/>
            </w:tcMar>
          </w:tcPr>
          <w:p>
            <w:pPr>
              <w:spacing w:after="0" w:line="245" w:lineRule="auto"/>
            </w:pPr>
            <w:r>
              <w:rPr>
                <w:sz w:val="16"/>
              </w:rPr>
              <w:t>Recovery index line</w:t>
            </w:r>
          </w:p>
        </w:tc>
        <w:tc>
          <w:tcPr>
            <w:tcW w:type="dxa" w:w="3458"/>
            <w:vAlign w:val="center"/>
            <w:tcMar>
              <w:top w:w="100" w:type="dxa"/>
              <w:start w:w="120" w:type="dxa"/>
              <w:bottom w:w="100" w:type="dxa"/>
              <w:end w:w="120" w:type="dxa"/>
            </w:tcMar>
          </w:tcPr>
          <w:p>
            <w:r>
              <w:rPr>
                <w:sz w:val="16"/>
              </w:rPr>
              <w:t>How close is each month from 2023 onward to its matching 2019 month?</w:t>
            </w:r>
          </w:p>
        </w:tc>
        <w:tc>
          <w:tcPr>
            <w:tcW w:type="dxa" w:w="3402"/>
            <w:vAlign w:val="center"/>
            <w:tcMar>
              <w:top w:w="100" w:type="dxa"/>
              <w:start w:w="120" w:type="dxa"/>
              <w:bottom w:w="100" w:type="dxa"/>
              <w:end w:w="120" w:type="dxa"/>
            </w:tcMar>
          </w:tcPr>
          <w:p>
            <w:pPr>
              <w:spacing w:after="0" w:line="245" w:lineRule="auto"/>
            </w:pPr>
            <w:r>
              <w:rPr>
                <w:sz w:val="16"/>
              </w:rPr>
              <w:t>Index 100 means equal volume, not complete economic recovery</w:t>
            </w:r>
          </w:p>
        </w:tc>
      </w:tr>
    </w:tbl>
    <w:p>
      <w:pPr>
        <w:pStyle w:val="Heading2"/>
      </w:pPr>
      <w:r>
        <w:rPr>
          <w:color w:val="000000"/>
        </w:rPr>
        <w:t>Deliverables</w:t>
      </w:r>
    </w:p>
    <w:p>
      <w:pPr>
        <w:pStyle w:val="ListBullet"/>
        <w:spacing w:after="50"/>
      </w:pPr>
      <w:r>
        <w:t>One fully executed Jupyter notebook that imports the XLS, validates the monthly series, calculates indicators, and reproduces the five final figures without manual data re-entry.</w:t>
      </w:r>
    </w:p>
    <w:p>
      <w:pPr>
        <w:pStyle w:val="ListBullet"/>
        <w:spacing w:after="50"/>
      </w:pPr>
      <w:r>
        <w:t>One analysis ready CSV file and one compact data dictionary describing fields, units, sources, and transformations.</w:t>
      </w:r>
    </w:p>
    <w:p>
      <w:pPr>
        <w:pStyle w:val="ListBullet"/>
        <w:spacing w:after="50"/>
      </w:pPr>
      <w:r>
        <w:t>Five high resolution PNG figures with titles, units, legends where needed, source notes, and accessible color contrast.</w:t>
      </w:r>
    </w:p>
    <w:p>
      <w:pPr>
        <w:pStyle w:val="ListBullet"/>
        <w:spacing w:after="50"/>
      </w:pPr>
      <w:r>
        <w:t>One concise final report that explains the question, method, findings, limitations, and conclusions without unsupported causal claims.</w:t>
      </w:r>
    </w:p>
    <w:p>
      <w:pPr>
        <w:pStyle w:val="Heading2"/>
      </w:pPr>
      <w:r>
        <w:rPr>
          <w:color w:val="000000"/>
        </w:rPr>
        <w:t>Limitations</w:t>
      </w:r>
    </w:p>
    <w:p>
      <w:r>
        <w:rPr>
          <w:b/>
        </w:rPr>
        <w:t xml:space="preserve">Measurement scope  </w:t>
      </w:r>
      <w:r>
        <w:t>Visitor arrivals count border entries rather than spending, revenue, welfare, hotel demand, or unique persons. The analysis will therefore stay within visitor volume.</w:t>
      </w:r>
    </w:p>
    <w:p>
      <w:r>
        <w:rPr>
          <w:b/>
        </w:rPr>
        <w:t xml:space="preserve">Comparability and revisions  </w:t>
      </w:r>
      <w:r>
        <w:t>Official tables may be revised or use notes that affect comparability. Retrieval dates and definitions will be preserved, and unexplained disagreements will not be averaged away.</w:t>
      </w:r>
    </w:p>
    <w:p>
      <w:r>
        <w:rPr>
          <w:b/>
        </w:rPr>
        <w:t xml:space="preserve">Method limits  </w:t>
      </w:r>
      <w:r>
        <w:t>A decomposition model summarizes patterns but cannot isolate the causal effect of a policy or event. The extreme 2020 to 2022 disruption may also weaken the assumption of stable seasonality, so raw and phase specific views will be used as checks.</w:t>
      </w:r>
    </w:p>
    <w:p>
      <w:pPr>
        <w:pStyle w:val="Heading2"/>
      </w:pPr>
      <w:r>
        <w:rPr>
          <w:color w:val="000000"/>
        </w:rPr>
        <w:t>Acceptance Criteria</w:t>
      </w:r>
    </w:p>
    <w:p>
      <w:pPr>
        <w:pStyle w:val="ListBullet"/>
        <w:spacing w:after="50"/>
      </w:pPr>
      <w:r>
        <w:t>The notebook runs from top to bottom with no error output and recreates the submitted CSV and figures.</w:t>
      </w:r>
    </w:p>
    <w:p>
      <w:pPr>
        <w:pStyle w:val="ListBullet"/>
        <w:spacing w:after="50"/>
      </w:pPr>
      <w:r>
        <w:t>The monthly index is unique, chronological, and complete or every gap is explicitly documented.</w:t>
      </w:r>
    </w:p>
    <w:p>
      <w:pPr>
        <w:pStyle w:val="ListBullet"/>
        <w:spacing w:after="50"/>
      </w:pPr>
      <w:r>
        <w:t>Sampled monthly values and annual sums reconcile with an official validation source or have a written explanation.</w:t>
      </w:r>
    </w:p>
    <w:p>
      <w:pPr>
        <w:pStyle w:val="ListBullet"/>
        <w:spacing w:after="50"/>
      </w:pPr>
      <w:r>
        <w:t>Recovery and year on year calculations pass hand checks for selected months.</w:t>
      </w:r>
    </w:p>
    <w:p>
      <w:pPr>
        <w:pStyle w:val="ListBullet"/>
        <w:spacing w:after="50"/>
      </w:pPr>
      <w:r>
        <w:t>Every claim is traceable to a figure or table and stays within the stated measurement scope.</w:t>
      </w:r>
    </w:p>
    <w:p>
      <w:r>
        <w:br w:type="page"/>
      </w:r>
    </w:p>
    <w:p>
      <w:pPr>
        <w:pStyle w:val="Heading1"/>
      </w:pPr>
      <w:r>
        <w:rPr>
          <w:color w:val="000000"/>
        </w:rPr>
        <w:t>Collaboration and Project Management</w:t>
      </w:r>
    </w:p>
    <w:p>
      <w:r>
        <w:t>The supplied Assignment 01 notebook provides the initial implementation. For this paired extension, each member will lead the tasks below and independently review the partner's work before it enters the final notebook or report.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cantSplit/>
        </w:trPr>
        <w:tc>
          <w:tcPr>
            <w:tcW w:type="dxa" w:w="2098"/>
            <w:vAlign w:val="center"/>
            <w:tcMar>
              <w:top w:w="100" w:type="dxa"/>
              <w:start w:w="120" w:type="dxa"/>
              <w:bottom w:w="100" w:type="dxa"/>
              <w:end w:w="120" w:type="dxa"/>
            </w:tcMar>
            <w:shd w:fill="17365D"/>
          </w:tcPr>
          <w:p>
            <w:pPr>
              <w:spacing w:after="0" w:line="245" w:lineRule="auto"/>
            </w:pPr>
            <w:r>
              <w:rPr>
                <w:b/>
                <w:color w:val="FFFFFF"/>
                <w:sz w:val="16"/>
              </w:rPr>
              <w:t>Role</w:t>
            </w:r>
          </w:p>
        </w:tc>
        <w:tc>
          <w:tcPr>
            <w:tcW w:type="dxa" w:w="3628"/>
            <w:vAlign w:val="center"/>
            <w:tcMar>
              <w:top w:w="100" w:type="dxa"/>
              <w:start w:w="120" w:type="dxa"/>
              <w:bottom w:w="100" w:type="dxa"/>
              <w:end w:w="120" w:type="dxa"/>
            </w:tcMar>
            <w:shd w:fill="17365D"/>
          </w:tcPr>
          <w:p>
            <w:pPr>
              <w:spacing w:after="0" w:line="245" w:lineRule="auto"/>
            </w:pPr>
            <w:r>
              <w:rPr>
                <w:b/>
                <w:color w:val="FFFFFF"/>
                <w:sz w:val="16"/>
              </w:rPr>
              <w:t>Lead responsibility</w:t>
            </w:r>
          </w:p>
        </w:tc>
        <w:tc>
          <w:tcPr>
            <w:tcW w:type="dxa" w:w="3175"/>
            <w:vAlign w:val="center"/>
            <w:tcMar>
              <w:top w:w="100" w:type="dxa"/>
              <w:start w:w="120" w:type="dxa"/>
              <w:bottom w:w="100" w:type="dxa"/>
              <w:end w:w="120" w:type="dxa"/>
            </w:tcMar>
            <w:shd w:fill="17365D"/>
          </w:tcPr>
          <w:p>
            <w:pPr>
              <w:spacing w:after="0" w:line="245" w:lineRule="auto"/>
            </w:pPr>
            <w:r>
              <w:rPr>
                <w:b/>
                <w:color w:val="FFFFFF"/>
                <w:sz w:val="16"/>
              </w:rPr>
              <w:t>Required partner review</w:t>
            </w:r>
          </w:p>
        </w:tc>
      </w:tr>
      <w:tr>
        <w:trPr>
          <w:cantSplit/>
        </w:trPr>
        <w:tc>
          <w:tcPr>
            <w:tcW w:type="dxa" w:w="2098"/>
            <w:vAlign w:val="center"/>
            <w:tcMar>
              <w:top w:w="100" w:type="dxa"/>
              <w:start w:w="120" w:type="dxa"/>
              <w:bottom w:w="100" w:type="dxa"/>
              <w:end w:w="120" w:type="dxa"/>
            </w:tcMar>
          </w:tcPr>
          <w:p>
            <w:pPr>
              <w:spacing w:after="0" w:line="245" w:lineRule="auto"/>
            </w:pPr>
            <w:r>
              <w:rPr>
                <w:sz w:val="16"/>
              </w:rPr>
              <w:t>WANG HE MC660942</w:t>
            </w:r>
          </w:p>
        </w:tc>
        <w:tc>
          <w:tcPr>
            <w:tcW w:type="dxa" w:w="3628"/>
            <w:vAlign w:val="center"/>
            <w:tcMar>
              <w:top w:w="100" w:type="dxa"/>
              <w:start w:w="120" w:type="dxa"/>
              <w:bottom w:w="100" w:type="dxa"/>
              <w:end w:w="120" w:type="dxa"/>
            </w:tcMar>
          </w:tcPr>
          <w:p>
            <w:r>
              <w:rPr>
                <w:sz w:val="16"/>
              </w:rPr>
              <w:t>Coordinator, liaison and data lead: XLS import, data audit, notebook integration, decomposition and initial plots</w:t>
            </w:r>
          </w:p>
        </w:tc>
        <w:tc>
          <w:tcPr>
            <w:tcW w:type="dxa" w:w="3175"/>
            <w:vAlign w:val="center"/>
            <w:tcMar>
              <w:top w:w="100" w:type="dxa"/>
              <w:start w:w="120" w:type="dxa"/>
              <w:bottom w:w="100" w:type="dxa"/>
              <w:end w:w="120" w:type="dxa"/>
            </w:tcMar>
          </w:tcPr>
          <w:p>
            <w:pPr>
              <w:spacing w:after="0" w:line="245" w:lineRule="auto"/>
            </w:pPr>
            <w:r>
              <w:rPr>
                <w:sz w:val="16"/>
              </w:rPr>
              <w:t>WANG HAOYU verifies ranges, totals, transformations, and reproducibility</w:t>
            </w:r>
          </w:p>
        </w:tc>
      </w:tr>
      <w:tr>
        <w:trPr>
          <w:cantSplit/>
        </w:trPr>
        <w:tc>
          <w:tcPr>
            <w:tcW w:type="dxa" w:w="2098"/>
            <w:vAlign w:val="center"/>
            <w:tcMar>
              <w:top w:w="100" w:type="dxa"/>
              <w:start w:w="120" w:type="dxa"/>
              <w:bottom w:w="100" w:type="dxa"/>
              <w:end w:w="120" w:type="dxa"/>
            </w:tcMar>
            <w:shd w:fill="EAF2F8"/>
          </w:tcPr>
          <w:p>
            <w:pPr>
              <w:spacing w:after="0" w:line="245" w:lineRule="auto"/>
            </w:pPr>
            <w:r>
              <w:rPr>
                <w:sz w:val="16"/>
              </w:rPr>
              <w:t>WANG HAOYU MC644384</w:t>
            </w:r>
          </w:p>
        </w:tc>
        <w:tc>
          <w:tcPr>
            <w:tcW w:type="dxa" w:w="3628"/>
            <w:vAlign w:val="center"/>
            <w:tcMar>
              <w:top w:w="100" w:type="dxa"/>
              <w:start w:w="120" w:type="dxa"/>
              <w:bottom w:w="100" w:type="dxa"/>
              <w:end w:w="120" w:type="dxa"/>
            </w:tcMar>
            <w:shd w:fill="EAF2F8"/>
          </w:tcPr>
          <w:p>
            <w:r>
              <w:rPr>
                <w:sz w:val="16"/>
              </w:rPr>
              <w:t>Scribe and progress tracker: source register, indicator checks, visual refinement, report and decision log</w:t>
            </w:r>
          </w:p>
        </w:tc>
        <w:tc>
          <w:tcPr>
            <w:tcW w:type="dxa" w:w="3175"/>
            <w:vAlign w:val="center"/>
            <w:tcMar>
              <w:top w:w="100" w:type="dxa"/>
              <w:start w:w="120" w:type="dxa"/>
              <w:bottom w:w="100" w:type="dxa"/>
              <w:end w:w="120" w:type="dxa"/>
            </w:tcMar>
            <w:shd w:fill="EAF2F8"/>
          </w:tcPr>
          <w:p>
            <w:pPr>
              <w:spacing w:after="0" w:line="245" w:lineRule="auto"/>
            </w:pPr>
            <w:r>
              <w:rPr>
                <w:sz w:val="16"/>
              </w:rPr>
              <w:t>WANG HE reviews calculations, interpretations, and final wording</w:t>
            </w:r>
          </w:p>
        </w:tc>
      </w:tr>
      <w:tr>
        <w:trPr>
          <w:cantSplit/>
        </w:trPr>
        <w:tc>
          <w:tcPr>
            <w:tcW w:type="dxa" w:w="2098"/>
            <w:vAlign w:val="center"/>
            <w:tcMar>
              <w:top w:w="100" w:type="dxa"/>
              <w:start w:w="120" w:type="dxa"/>
              <w:bottom w:w="100" w:type="dxa"/>
              <w:end w:w="120" w:type="dxa"/>
            </w:tcMar>
          </w:tcPr>
          <w:p>
            <w:pPr>
              <w:spacing w:after="0" w:line="245" w:lineRule="auto"/>
            </w:pPr>
            <w:r>
              <w:rPr>
                <w:sz w:val="16"/>
              </w:rPr>
              <w:t>Both members</w:t>
            </w:r>
          </w:p>
        </w:tc>
        <w:tc>
          <w:tcPr>
            <w:tcW w:type="dxa" w:w="3628"/>
            <w:vAlign w:val="center"/>
            <w:tcMar>
              <w:top w:w="100" w:type="dxa"/>
              <w:start w:w="120" w:type="dxa"/>
              <w:bottom w:w="100" w:type="dxa"/>
              <w:end w:w="120" w:type="dxa"/>
            </w:tcMar>
          </w:tcPr>
          <w:p>
            <w:pPr>
              <w:spacing w:after="0" w:line="245" w:lineRule="auto"/>
            </w:pPr>
            <w:r>
              <w:rPr>
                <w:sz w:val="16"/>
              </w:rPr>
              <w:t>Research framing, figure selection, interpretation, final quality control, and submission readiness</w:t>
            </w:r>
          </w:p>
        </w:tc>
        <w:tc>
          <w:tcPr>
            <w:tcW w:type="dxa" w:w="3175"/>
            <w:vAlign w:val="center"/>
            <w:tcMar>
              <w:top w:w="100" w:type="dxa"/>
              <w:start w:w="120" w:type="dxa"/>
              <w:bottom w:w="100" w:type="dxa"/>
              <w:end w:w="120" w:type="dxa"/>
            </w:tcMar>
          </w:tcPr>
          <w:p>
            <w:pPr>
              <w:spacing w:after="0" w:line="245" w:lineRule="auto"/>
            </w:pPr>
            <w:r>
              <w:rPr>
                <w:sz w:val="16"/>
              </w:rPr>
              <w:t>Each member reviews the other member's code and visual decisions</w:t>
            </w:r>
          </w:p>
        </w:tc>
      </w:tr>
    </w:tbl>
    <w:p>
      <w:pPr>
        <w:pStyle w:val="Heading2"/>
      </w:pPr>
      <w:r>
        <w:rPr>
          <w:color w:val="000000"/>
        </w:rPr>
        <w:t>Milestones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6"/>
        <w:gridCol w:w="2466"/>
        <w:gridCol w:w="2466"/>
        <w:gridCol w:w="2466"/>
      </w:tblGrid>
      <w:tr>
        <w:trPr>
          <w:tblHeader w:val="true"/>
          <w:cantSplit/>
        </w:trPr>
        <w:tc>
          <w:tcPr>
            <w:tcW w:type="dxa" w:w="1928"/>
            <w:vAlign w:val="center"/>
            <w:tcMar>
              <w:top w:w="100" w:type="dxa"/>
              <w:start w:w="120" w:type="dxa"/>
              <w:bottom w:w="100" w:type="dxa"/>
              <w:end w:w="120" w:type="dxa"/>
            </w:tcMar>
            <w:shd w:fill="17365D"/>
          </w:tcPr>
          <w:p>
            <w:pPr>
              <w:spacing w:after="0" w:line="245" w:lineRule="auto"/>
            </w:pPr>
            <w:r>
              <w:rPr>
                <w:b/>
                <w:color w:val="FFFFFF"/>
                <w:sz w:val="16"/>
              </w:rPr>
              <w:t>Stage</w:t>
            </w:r>
          </w:p>
        </w:tc>
        <w:tc>
          <w:tcPr>
            <w:tcW w:type="dxa" w:w="1814"/>
            <w:vAlign w:val="center"/>
            <w:tcMar>
              <w:top w:w="100" w:type="dxa"/>
              <w:start w:w="120" w:type="dxa"/>
              <w:bottom w:w="100" w:type="dxa"/>
              <w:end w:w="120" w:type="dxa"/>
            </w:tcMar>
            <w:shd w:fill="17365D"/>
          </w:tcPr>
          <w:p>
            <w:pPr>
              <w:spacing w:after="0" w:line="245" w:lineRule="auto"/>
            </w:pPr>
            <w:r>
              <w:rPr>
                <w:b/>
                <w:color w:val="FFFFFF"/>
                <w:sz w:val="16"/>
              </w:rPr>
              <w:t>Primary owner</w:t>
            </w:r>
          </w:p>
        </w:tc>
        <w:tc>
          <w:tcPr>
            <w:tcW w:type="dxa" w:w="2438"/>
            <w:vAlign w:val="center"/>
            <w:tcMar>
              <w:top w:w="100" w:type="dxa"/>
              <w:start w:w="120" w:type="dxa"/>
              <w:bottom w:w="100" w:type="dxa"/>
              <w:end w:w="120" w:type="dxa"/>
            </w:tcMar>
            <w:shd w:fill="17365D"/>
          </w:tcPr>
          <w:p>
            <w:pPr>
              <w:spacing w:after="0" w:line="245" w:lineRule="auto"/>
            </w:pPr>
            <w:r>
              <w:rPr>
                <w:b/>
                <w:color w:val="FFFFFF"/>
                <w:sz w:val="16"/>
              </w:rPr>
              <w:t>Output</w:t>
            </w:r>
          </w:p>
        </w:tc>
        <w:tc>
          <w:tcPr>
            <w:tcW w:type="dxa" w:w="2721"/>
            <w:vAlign w:val="center"/>
            <w:tcMar>
              <w:top w:w="100" w:type="dxa"/>
              <w:start w:w="120" w:type="dxa"/>
              <w:bottom w:w="100" w:type="dxa"/>
              <w:end w:w="120" w:type="dxa"/>
            </w:tcMar>
            <w:shd w:fill="17365D"/>
          </w:tcPr>
          <w:p>
            <w:pPr>
              <w:spacing w:after="0" w:line="245" w:lineRule="auto"/>
            </w:pPr>
            <w:r>
              <w:rPr>
                <w:b/>
                <w:color w:val="FFFFFF"/>
                <w:sz w:val="16"/>
              </w:rPr>
              <w:t>Completion test</w:t>
            </w:r>
          </w:p>
        </w:tc>
      </w:tr>
      <w:tr>
        <w:trPr>
          <w:cantSplit/>
        </w:trPr>
        <w:tc>
          <w:tcPr>
            <w:tcW w:type="dxa" w:w="1928"/>
            <w:vAlign w:val="center"/>
            <w:tcMar>
              <w:top w:w="100" w:type="dxa"/>
              <w:start w:w="120" w:type="dxa"/>
              <w:bottom w:w="100" w:type="dxa"/>
              <w:end w:w="120" w:type="dxa"/>
            </w:tcMar>
          </w:tcPr>
          <w:p>
            <w:pPr>
              <w:spacing w:after="0" w:line="245" w:lineRule="auto"/>
            </w:pPr>
            <w:r>
              <w:rPr>
                <w:sz w:val="16"/>
              </w:rPr>
              <w:t>Week 1 data audit</w:t>
            </w:r>
          </w:p>
        </w:tc>
        <w:tc>
          <w:tcPr>
            <w:tcW w:type="dxa" w:w="1814"/>
            <w:vAlign w:val="center"/>
            <w:tcMar>
              <w:top w:w="100" w:type="dxa"/>
              <w:start w:w="120" w:type="dxa"/>
              <w:bottom w:w="100" w:type="dxa"/>
              <w:end w:w="120" w:type="dxa"/>
            </w:tcMar>
          </w:tcPr>
          <w:p>
            <w:pPr>
              <w:spacing w:after="0" w:line="245" w:lineRule="auto"/>
            </w:pPr>
            <w:r>
              <w:rPr>
                <w:sz w:val="16"/>
              </w:rPr>
              <w:t>WANG HE</w:t>
            </w:r>
          </w:p>
        </w:tc>
        <w:tc>
          <w:tcPr>
            <w:tcW w:type="dxa" w:w="2438"/>
            <w:vAlign w:val="center"/>
            <w:tcMar>
              <w:top w:w="100" w:type="dxa"/>
              <w:start w:w="120" w:type="dxa"/>
              <w:bottom w:w="100" w:type="dxa"/>
              <w:end w:w="120" w:type="dxa"/>
            </w:tcMar>
          </w:tcPr>
          <w:p>
            <w:pPr>
              <w:spacing w:after="0" w:line="245" w:lineRule="auto"/>
            </w:pPr>
            <w:r>
              <w:rPr>
                <w:sz w:val="16"/>
              </w:rPr>
              <w:t>Raw files and source register</w:t>
            </w:r>
          </w:p>
        </w:tc>
        <w:tc>
          <w:tcPr>
            <w:tcW w:type="dxa" w:w="2721"/>
            <w:vAlign w:val="center"/>
            <w:tcMar>
              <w:top w:w="100" w:type="dxa"/>
              <w:start w:w="120" w:type="dxa"/>
              <w:bottom w:w="100" w:type="dxa"/>
              <w:end w:w="120" w:type="dxa"/>
            </w:tcMar>
          </w:tcPr>
          <w:p>
            <w:pPr>
              <w:spacing w:after="0" w:line="245" w:lineRule="auto"/>
            </w:pPr>
            <w:r>
              <w:rPr>
                <w:sz w:val="16"/>
              </w:rPr>
              <w:t>Coverage, unit, duplicates, and 223 expected months checked</w:t>
            </w:r>
          </w:p>
        </w:tc>
      </w:tr>
      <w:tr>
        <w:trPr>
          <w:cantSplit/>
        </w:trPr>
        <w:tc>
          <w:tcPr>
            <w:tcW w:type="dxa" w:w="1928"/>
            <w:vAlign w:val="center"/>
            <w:tcMar>
              <w:top w:w="100" w:type="dxa"/>
              <w:start w:w="120" w:type="dxa"/>
              <w:bottom w:w="100" w:type="dxa"/>
              <w:end w:w="120" w:type="dxa"/>
            </w:tcMar>
            <w:shd w:fill="EAF2F8"/>
          </w:tcPr>
          <w:p>
            <w:pPr>
              <w:spacing w:after="0" w:line="245" w:lineRule="auto"/>
            </w:pPr>
            <w:r>
              <w:rPr>
                <w:sz w:val="16"/>
              </w:rPr>
              <w:t>Week 2 analysis</w:t>
            </w:r>
          </w:p>
        </w:tc>
        <w:tc>
          <w:tcPr>
            <w:tcW w:type="dxa" w:w="1814"/>
            <w:vAlign w:val="center"/>
            <w:tcMar>
              <w:top w:w="100" w:type="dxa"/>
              <w:start w:w="120" w:type="dxa"/>
              <w:bottom w:w="100" w:type="dxa"/>
              <w:end w:w="120" w:type="dxa"/>
            </w:tcMar>
            <w:shd w:fill="EAF2F8"/>
          </w:tcPr>
          <w:p>
            <w:pPr>
              <w:spacing w:after="0" w:line="245" w:lineRule="auto"/>
            </w:pPr>
            <w:r>
              <w:rPr>
                <w:sz w:val="16"/>
              </w:rPr>
              <w:t>Both</w:t>
            </w:r>
          </w:p>
        </w:tc>
        <w:tc>
          <w:tcPr>
            <w:tcW w:type="dxa" w:w="2438"/>
            <w:vAlign w:val="center"/>
            <w:tcMar>
              <w:top w:w="100" w:type="dxa"/>
              <w:start w:w="120" w:type="dxa"/>
              <w:bottom w:w="100" w:type="dxa"/>
              <w:end w:w="120" w:type="dxa"/>
            </w:tcMar>
            <w:shd w:fill="EAF2F8"/>
          </w:tcPr>
          <w:p>
            <w:pPr>
              <w:spacing w:after="0" w:line="245" w:lineRule="auto"/>
            </w:pPr>
            <w:r>
              <w:rPr>
                <w:sz w:val="16"/>
              </w:rPr>
              <w:t>Clean CSV, indicators, exploratory plots</w:t>
            </w:r>
          </w:p>
        </w:tc>
        <w:tc>
          <w:tcPr>
            <w:tcW w:type="dxa" w:w="2721"/>
            <w:vAlign w:val="center"/>
            <w:tcMar>
              <w:top w:w="100" w:type="dxa"/>
              <w:start w:w="120" w:type="dxa"/>
              <w:bottom w:w="100" w:type="dxa"/>
              <w:end w:w="120" w:type="dxa"/>
            </w:tcMar>
            <w:shd w:fill="EAF2F8"/>
          </w:tcPr>
          <w:p>
            <w:pPr>
              <w:spacing w:after="0" w:line="245" w:lineRule="auto"/>
            </w:pPr>
            <w:r>
              <w:rPr>
                <w:sz w:val="16"/>
              </w:rPr>
              <w:t>Peer check of formulas and sampled values complete</w:t>
            </w:r>
          </w:p>
        </w:tc>
      </w:tr>
      <w:tr>
        <w:trPr>
          <w:cantSplit/>
        </w:trPr>
        <w:tc>
          <w:tcPr>
            <w:tcW w:type="dxa" w:w="1928"/>
            <w:vAlign w:val="center"/>
            <w:tcMar>
              <w:top w:w="100" w:type="dxa"/>
              <w:start w:w="120" w:type="dxa"/>
              <w:bottom w:w="100" w:type="dxa"/>
              <w:end w:w="120" w:type="dxa"/>
            </w:tcMar>
          </w:tcPr>
          <w:p>
            <w:pPr>
              <w:spacing w:after="0" w:line="245" w:lineRule="auto"/>
            </w:pPr>
            <w:r>
              <w:rPr>
                <w:sz w:val="16"/>
              </w:rPr>
              <w:t>Week 3 visual iteration</w:t>
            </w:r>
          </w:p>
        </w:tc>
        <w:tc>
          <w:tcPr>
            <w:tcW w:type="dxa" w:w="1814"/>
            <w:vAlign w:val="center"/>
            <w:tcMar>
              <w:top w:w="100" w:type="dxa"/>
              <w:start w:w="120" w:type="dxa"/>
              <w:bottom w:w="100" w:type="dxa"/>
              <w:end w:w="120" w:type="dxa"/>
            </w:tcMar>
          </w:tcPr>
          <w:p>
            <w:pPr>
              <w:spacing w:after="0" w:line="245" w:lineRule="auto"/>
            </w:pPr>
            <w:r>
              <w:rPr>
                <w:sz w:val="16"/>
              </w:rPr>
              <w:t>Both</w:t>
            </w:r>
          </w:p>
        </w:tc>
        <w:tc>
          <w:tcPr>
            <w:tcW w:type="dxa" w:w="2438"/>
            <w:vAlign w:val="center"/>
            <w:tcMar>
              <w:top w:w="100" w:type="dxa"/>
              <w:start w:w="120" w:type="dxa"/>
              <w:bottom w:w="100" w:type="dxa"/>
              <w:end w:w="120" w:type="dxa"/>
            </w:tcMar>
          </w:tcPr>
          <w:p>
            <w:pPr>
              <w:spacing w:after="0" w:line="245" w:lineRule="auto"/>
            </w:pPr>
            <w:r>
              <w:rPr>
                <w:sz w:val="16"/>
              </w:rPr>
              <w:t>Five final figures and draft findings</w:t>
            </w:r>
          </w:p>
        </w:tc>
        <w:tc>
          <w:tcPr>
            <w:tcW w:type="dxa" w:w="2721"/>
            <w:vAlign w:val="center"/>
            <w:tcMar>
              <w:top w:w="100" w:type="dxa"/>
              <w:start w:w="120" w:type="dxa"/>
              <w:bottom w:w="100" w:type="dxa"/>
              <w:end w:w="120" w:type="dxa"/>
            </w:tcMar>
          </w:tcPr>
          <w:p>
            <w:pPr>
              <w:spacing w:after="0" w:line="245" w:lineRule="auto"/>
            </w:pPr>
            <w:r>
              <w:rPr>
                <w:sz w:val="16"/>
              </w:rPr>
              <w:t>Figures answer distinct questions and use consistent labels</w:t>
            </w:r>
          </w:p>
        </w:tc>
      </w:tr>
      <w:tr>
        <w:trPr>
          <w:cantSplit/>
        </w:trPr>
        <w:tc>
          <w:tcPr>
            <w:tcW w:type="dxa" w:w="1928"/>
            <w:vAlign w:val="center"/>
            <w:tcMar>
              <w:top w:w="100" w:type="dxa"/>
              <w:start w:w="120" w:type="dxa"/>
              <w:bottom w:w="100" w:type="dxa"/>
              <w:end w:w="120" w:type="dxa"/>
            </w:tcMar>
            <w:shd w:fill="EAF2F8"/>
          </w:tcPr>
          <w:p>
            <w:pPr>
              <w:spacing w:after="0" w:line="245" w:lineRule="auto"/>
            </w:pPr>
            <w:r>
              <w:rPr>
                <w:sz w:val="16"/>
              </w:rPr>
              <w:t>Final 48 hours</w:t>
            </w:r>
          </w:p>
        </w:tc>
        <w:tc>
          <w:tcPr>
            <w:tcW w:type="dxa" w:w="1814"/>
            <w:vAlign w:val="center"/>
            <w:tcMar>
              <w:top w:w="100" w:type="dxa"/>
              <w:start w:w="120" w:type="dxa"/>
              <w:bottom w:w="100" w:type="dxa"/>
              <w:end w:w="120" w:type="dxa"/>
            </w:tcMar>
            <w:shd w:fill="EAF2F8"/>
          </w:tcPr>
          <w:p>
            <w:pPr>
              <w:spacing w:after="0" w:line="245" w:lineRule="auto"/>
            </w:pPr>
            <w:r>
              <w:rPr>
                <w:sz w:val="16"/>
              </w:rPr>
              <w:t>WANG HAOYU</w:t>
            </w:r>
          </w:p>
        </w:tc>
        <w:tc>
          <w:tcPr>
            <w:tcW w:type="dxa" w:w="2438"/>
            <w:vAlign w:val="center"/>
            <w:tcMar>
              <w:top w:w="100" w:type="dxa"/>
              <w:start w:w="120" w:type="dxa"/>
              <w:bottom w:w="100" w:type="dxa"/>
              <w:end w:w="120" w:type="dxa"/>
            </w:tcMar>
            <w:shd w:fill="EAF2F8"/>
          </w:tcPr>
          <w:p>
            <w:pPr>
              <w:spacing w:after="0" w:line="245" w:lineRule="auto"/>
            </w:pPr>
            <w:r>
              <w:rPr>
                <w:sz w:val="16"/>
              </w:rPr>
              <w:t>Report, executed notebook, archive</w:t>
            </w:r>
          </w:p>
        </w:tc>
        <w:tc>
          <w:tcPr>
            <w:tcW w:type="dxa" w:w="2721"/>
            <w:vAlign w:val="center"/>
            <w:tcMar>
              <w:top w:w="100" w:type="dxa"/>
              <w:start w:w="120" w:type="dxa"/>
              <w:bottom w:w="100" w:type="dxa"/>
              <w:end w:w="120" w:type="dxa"/>
            </w:tcMar>
            <w:shd w:fill="EAF2F8"/>
          </w:tcPr>
          <w:p>
            <w:pPr>
              <w:spacing w:after="0" w:line="245" w:lineRule="auto"/>
            </w:pPr>
            <w:r>
              <w:rPr>
                <w:sz w:val="16"/>
              </w:rPr>
              <w:t>Submission checklist signed off by both members</w:t>
            </w:r>
          </w:p>
        </w:tc>
      </w:tr>
    </w:tbl>
    <w:p>
      <w:pPr>
        <w:pStyle w:val="Heading2"/>
      </w:pPr>
      <w:r>
        <w:rPr>
          <w:color w:val="000000"/>
        </w:rPr>
        <w:t>Ground Rules and Risk Responses</w:t>
      </w:r>
    </w:p>
    <w:p>
      <w:pPr>
        <w:pStyle w:val="ListBullet"/>
        <w:spacing w:after="50"/>
      </w:pPr>
      <w:r>
        <w:t>Keep untouched raw files and use descriptive version names. All changes to definitions, formulas, or date coverage must be recorded in the decision log.</w:t>
      </w:r>
    </w:p>
    <w:p>
      <w:pPr>
        <w:pStyle w:val="ListBullet"/>
        <w:spacing w:after="50"/>
      </w:pPr>
      <w:r>
        <w:t>Meet twice each week. A member who expects a delay will notify the partner at least 24 hours before the milestone and identify work that can be reassigned.</w:t>
      </w:r>
    </w:p>
    <w:p>
      <w:pPr>
        <w:pStyle w:val="ListBullet"/>
        <w:spacing w:after="50"/>
      </w:pPr>
      <w:r>
        <w:t>Resolve disagreements by checking the research question, official definitions, underlying values, and acceptance criteria. If uncertainty remains, report it rather than selecting a convenient result.</w:t>
      </w:r>
    </w:p>
    <w:p>
      <w:pPr>
        <w:pStyle w:val="ListBullet"/>
        <w:spacing w:after="50"/>
      </w:pPr>
      <w:r>
        <w:t>If the latest month is unavailable or revised, keep the verified common end date and update the title, row count, and partial year labels consistently.</w:t>
      </w:r>
    </w:p>
    <w:p>
      <w:pPr>
        <w:pStyle w:val="Heading2"/>
      </w:pPr>
      <w:r>
        <w:rPr>
          <w:color w:val="000000"/>
        </w:rPr>
        <w:t>Generative AI Use</w:t>
      </w:r>
    </w:p>
    <w:p>
      <w:r>
        <w:t>OpenAI Codex assisted with reviewing the submitted notebook and XLS file and revising this proposal. Both members remain responsible for verifying the analysis, reviewing the final wording, and understanding and explaining the submitted work.</w:t>
      </w:r>
    </w:p>
    <w:p>
      <w:pPr>
        <w:pStyle w:val="Heading2"/>
      </w:pPr>
      <w:r>
        <w:rPr>
          <w:color w:val="000000"/>
        </w:rPr>
        <w:t>Source Register</w:t>
      </w:r>
    </w:p>
    <w:p>
      <w:pPr>
        <w:spacing w:after="0"/>
      </w:pPr>
      <w:r>
        <w:t>Data sources: DSEC Visitor Arrivals time series and MGTO Tourism Data Plus Total Visitor Arrivals, linked in the data section. MGTO republishes DSEC statistics, so this is a cross-publication consistency check, not an independent survey. Record export dates, filters, definitions, and revisions in the source register.</w:t>
      </w:r>
    </w:p>
    <w:sectPr w:rsidR="00FC693F" w:rsidRPr="0006063C" w:rsidSect="00034616">
      <w:footerReference w:type="default" r:id="rId12"/>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CISC7204 Assignment 02  |  Pair02  |  WANG HAOYU and WANG HE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8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80"/>
    </w:pPr>
    <w:rPr>
      <w:rFonts w:asciiTheme="majorHAnsi" w:eastAsiaTheme="majorEastAsia" w:hAnsiTheme="majorHAnsi" w:cstheme="majorBidi" w:ascii="Aptos" w:hAnsi="Apto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sec.gov.mo/timeseriesdatabase.aspx?keyindicatorid=27&amp;lang=en-US" TargetMode="External"/><Relationship Id="rId10" Type="http://schemas.openxmlformats.org/officeDocument/2006/relationships/hyperlink" Target="https://dataplus.macaotourism.gov.mo/Indicator/VisitorsSummary/SummaryBar?lang=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Macao Monthly Visitor Arrivals Trends Seasonality and Recovery</dc:title>
  <dc:subject>Macao monthly visitor arrivals from 2008 to 2026</dc:subject>
  <dc:creator>WANG HE MC660942 and WANG HAOYU MC644384</dc:creator>
  <cp:keywords>CISC7204, Pair02, Macao, visitor arrivals, time series</cp:keywords>
  <dc:description>generated by python-docx</dc:description>
  <cp:lastModifiedBy/>
  <cp:revision>1</cp:revision>
  <dcterms:created xsi:type="dcterms:W3CDTF">2013-12-23T23:15:00Z</dcterms:created>
  <dcterms:modified xsi:type="dcterms:W3CDTF">2013-12-23T23:15:00Z</dcterms:modified>
  <cp:category/>
</cp:coreProperties>
</file>