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60"/>
        <w:jc w:val="center"/>
      </w:pPr>
      <w:r>
        <w:rPr>
          <w:rFonts w:ascii="Arial" w:cs="Arial" w:eastAsia="Arial" w:hAnsi="Arial"/>
          <w:b/>
          <w:bCs/>
          <w:color w:val="1C3333"/>
          <w:sz w:val="72"/>
          <w:szCs w:val="72"/>
        </w:rPr>
        <w:t xml:space="preserve">LUMEN-RA</w:t>
      </w:r>
    </w:p>
    <w:p>
      <w:pPr>
        <w:spacing w:before="0" w:after="60"/>
        <w:jc w:val="center"/>
      </w:pPr>
      <w:r>
        <w:rPr>
          <w:rFonts w:ascii="Arial" w:cs="Arial" w:eastAsia="Arial" w:hAnsi="Arial"/>
          <w:color w:val="C4622D"/>
          <w:sz w:val="40"/>
          <w:szCs w:val="40"/>
        </w:rPr>
        <w:t xml:space="preserve">AI Integration Report</w:t>
      </w:r>
    </w:p>
    <w:p>
      <w:pPr>
        <w:spacing w:before="0" w:after="60"/>
        <w:jc w:val="center"/>
      </w:pPr>
      <w:r>
        <w:rPr>
          <w:rFonts w:ascii="Arial" w:cs="Arial" w:eastAsia="Arial" w:hAnsi="Arial"/>
          <w:color w:val="7A9E87"/>
          <w:sz w:val="24"/>
          <w:szCs w:val="24"/>
        </w:rPr>
        <w:t xml:space="preserve">How Artificial Intelligence Was Used Across the Data Science Pipeline</w:t>
      </w:r>
    </w:p>
    <w:p>
      <w:pPr>
        <w:spacing w:before="0" w:after="400"/>
        <w:jc w:val="center"/>
      </w:pPr>
      <w:r>
        <w:rPr>
          <w:rFonts w:ascii="Arial" w:cs="Arial" w:eastAsia="Arial" w:hAnsi="Arial"/>
          <w:color w:val="8A9099"/>
          <w:sz w:val="20"/>
          <w:szCs w:val="20"/>
        </w:rPr>
        <w:t xml:space="preserve">Team 39  ·  Women Tech Fest 2025  ·  SDG 5 — Gender Equality  ·  February 2026</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4622D" w:sz="1"/>
              <w:left w:val="single" w:color="C4622D" w:sz="1"/>
              <w:bottom w:val="single" w:color="C4622D" w:sz="1"/>
              <w:right w:val="single" w:color="C4622D" w:sz="1"/>
            </w:tcBorders>
            <w:shd w:fill="1C3333" w:val="clear"/>
            <w:tcMar>
              <w:top w:type="dxa" w:w="80"/>
              <w:left w:type="dxa" w:w="120"/>
              <w:bottom w:type="dxa" w:w="80"/>
              <w:right w:type="dxa" w:w="120"/>
            </w:tcMar>
          </w:tcPr>
          <w:p>
            <w:r>
              <w:rPr>
                <w:rFonts w:ascii="Arial" w:cs="Arial" w:eastAsia="Arial" w:hAnsi="Arial"/>
                <w:b/>
                <w:bCs/>
                <w:color w:val="FFFFFF"/>
                <w:sz w:val="20"/>
                <w:szCs w:val="20"/>
              </w:rPr>
              <w:t xml:space="preserve">Project</w:t>
            </w:r>
          </w:p>
        </w:tc>
        <w:tc>
          <w:tcPr>
            <w:tcW w:type="dxa" w:w="3600"/>
            <w:tcBorders>
              <w:top w:val="single" w:color="C4622D" w:sz="1"/>
              <w:left w:val="single" w:color="C4622D" w:sz="1"/>
              <w:bottom w:val="single" w:color="C4622D" w:sz="1"/>
              <w:right w:val="single" w:color="C4622D" w:sz="1"/>
            </w:tcBorders>
            <w:shd w:fill="1C3333" w:val="clear"/>
            <w:tcMar>
              <w:top w:type="dxa" w:w="80"/>
              <w:left w:type="dxa" w:w="120"/>
              <w:bottom w:type="dxa" w:w="80"/>
              <w:right w:type="dxa" w:w="120"/>
            </w:tcMar>
          </w:tcPr>
          <w:p>
            <w:r>
              <w:rPr>
                <w:rFonts w:ascii="Arial" w:cs="Arial" w:eastAsia="Arial" w:hAnsi="Arial"/>
                <w:b/>
                <w:bCs/>
                <w:color w:val="FFFFFF"/>
                <w:sz w:val="20"/>
                <w:szCs w:val="20"/>
              </w:rPr>
              <w:t xml:space="preserve">Lumen-Ra — Digital Allyship Toolkit</w:t>
            </w:r>
          </w:p>
        </w:tc>
      </w:tr>
      <w:tr>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2C2C2C"/>
                <w:sz w:val="20"/>
                <w:szCs w:val="20"/>
              </w:rPr>
              <w:t xml:space="preserve">Team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Team 39 — Data Science &amp; Engineering</w:t>
            </w:r>
          </w:p>
        </w:tc>
      </w:tr>
      <w:tr>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2C2C2C"/>
                <w:sz w:val="20"/>
                <w:szCs w:val="20"/>
              </w:rPr>
              <w:t xml:space="preserve">Document Type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AI Tools Integration Report</w:t>
            </w:r>
          </w:p>
        </w:tc>
      </w:tr>
      <w:tr>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2C2C2C"/>
                <w:sz w:val="20"/>
                <w:szCs w:val="20"/>
              </w:rPr>
              <w:t xml:space="preserve">Phases Covered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Phase 1 (Warehouse) · Phase 2 (Ad Hoc) · Phase 3 (Dashboards) · Phase 4 (ML)</w:t>
            </w:r>
          </w:p>
        </w:tc>
      </w:tr>
      <w:tr>
        <w:tc>
          <w:tcPr>
            <w:tcW w:type="dxa" w:w="24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2C2C2C"/>
                <w:sz w:val="20"/>
                <w:szCs w:val="20"/>
              </w:rPr>
              <w:t xml:space="preserve">Date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February 2026</w:t>
            </w:r>
          </w:p>
        </w:tc>
      </w:tr>
    </w:tbl>
    <w:p>
      <w:pPr>
        <w:spacing w:before="80" w:after="80"/>
      </w:pPr>
    </w:p>
    <w:p>
      <w:pPr>
        <w:pBdr>
          <w:bottom w:val="single" w:color="E8E0D0" w:sz="4" w:space="1"/>
        </w:pBdr>
        <w:spacing w:before="140" w:after="140"/>
      </w:pPr>
    </w:p>
    <w:p>
      <w:pPr>
        <w:pStyle w:val="Heading1"/>
        <w:spacing w:before="360" w:after="120"/>
      </w:pPr>
      <w:r>
        <w:rPr>
          <w:rFonts w:ascii="Arial" w:cs="Arial" w:eastAsia="Arial" w:hAnsi="Arial"/>
          <w:b/>
          <w:bCs/>
          <w:color w:val="1C3333"/>
          <w:sz w:val="32"/>
          <w:szCs w:val="32"/>
        </w:rPr>
        <w:t xml:space="preserve">1. Introduction</w:t>
      </w:r>
    </w:p>
    <w:p>
      <w:pPr>
        <w:spacing w:before="60" w:after="80"/>
      </w:pPr>
      <w:r>
        <w:rPr>
          <w:rFonts w:ascii="Arial" w:cs="Arial" w:eastAsia="Arial" w:hAnsi="Arial"/>
          <w:sz w:val="22"/>
          <w:szCs w:val="22"/>
        </w:rPr>
        <w:t xml:space="preserve">For this project, the team used AI tools as assistive technologies that supported the development process and informed decision-making at key stages. AI was employed as a supplement — not a replacement — for the team's judgment, implementation and ownership of the work. Every decision about what to build, how to structure it, and what it meant was made by the team. AI helped us get there faster and with greater clarity.</w:t>
      </w:r>
    </w:p>
    <w:p>
      <w:pPr>
        <w:spacing w:before="80" w:after="80"/>
      </w:pPr>
    </w:p>
    <w:p>
      <w:pPr>
        <w:spacing w:before="60" w:after="80"/>
      </w:pPr>
      <w:r>
        <w:rPr>
          <w:rFonts w:ascii="Arial" w:cs="Arial" w:eastAsia="Arial" w:hAnsi="Arial"/>
          <w:sz w:val="22"/>
          <w:szCs w:val="22"/>
        </w:rPr>
        <w:t xml:space="preserve">The team employed large language models including ChatGPT, Google Gemini and Claude (Anthropic) across all four project phases. These tools were used to clarify machine learning and data science concepts during project design, to comprehend and work through mistakes and misunderstandings encountered during development, and to revise technical explanations for clarity and stakeholder engagement. In this way, AI functioned much like a technical peer reviewer — available at any point in the process, helping the team think more clearly and produce better outputs while maintaining complete ownership of the results.</w:t>
      </w:r>
    </w:p>
    <w:p>
      <w:pPr>
        <w:pBdr>
          <w:bottom w:val="single" w:color="E8E0D0" w:sz="4" w:space="1"/>
        </w:pBdr>
        <w:spacing w:before="140" w:after="140"/>
      </w:pPr>
    </w:p>
    <w:p>
      <w:pPr>
        <w:pStyle w:val="Heading1"/>
        <w:spacing w:before="360" w:after="120"/>
      </w:pPr>
      <w:r>
        <w:rPr>
          <w:rFonts w:ascii="Arial" w:cs="Arial" w:eastAsia="Arial" w:hAnsi="Arial"/>
          <w:b/>
          <w:bCs/>
          <w:color w:val="1C3333"/>
          <w:sz w:val="32"/>
          <w:szCs w:val="32"/>
        </w:rPr>
        <w:t xml:space="preserve">2. AI Tools Used Across the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4622D" w:sz="1"/>
              <w:left w:val="single" w:color="C4622D" w:sz="1"/>
              <w:bottom w:val="single" w:color="C4622D" w:sz="1"/>
              <w:right w:val="single" w:color="C4622D" w:sz="1"/>
            </w:tcBorders>
            <w:shd w:fill="1C3333"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000"/>
            <w:tcBorders>
              <w:top w:val="single" w:color="C4622D" w:sz="1"/>
              <w:left w:val="single" w:color="C4622D" w:sz="1"/>
              <w:bottom w:val="single" w:color="C4622D" w:sz="1"/>
              <w:right w:val="single" w:color="C4622D" w:sz="1"/>
            </w:tcBorders>
            <w:shd w:fill="1C3333"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160"/>
            <w:tcBorders>
              <w:top w:val="single" w:color="C4622D" w:sz="1"/>
              <w:left w:val="single" w:color="C4622D" w:sz="1"/>
              <w:bottom w:val="single" w:color="C4622D" w:sz="1"/>
              <w:right w:val="single" w:color="C4622D" w:sz="1"/>
            </w:tcBorders>
            <w:shd w:fill="1C3333" w:val="clear"/>
            <w:tcMar>
              <w:top w:type="dxa" w:w="80"/>
              <w:left w:type="dxa" w:w="120"/>
              <w:bottom w:type="dxa" w:w="80"/>
              <w:right w:type="dxa" w:w="120"/>
            </w:tcMar>
          </w:tcPr>
          <w:p>
            <w:r>
              <w:rPr>
                <w:rFonts w:ascii="Arial" w:cs="Arial" w:eastAsia="Arial" w:hAnsi="Arial"/>
                <w:b/>
                <w:bCs/>
                <w:color w:val="FFFFFF"/>
                <w:sz w:val="20"/>
                <w:szCs w:val="20"/>
              </w:rPr>
              <w:t xml:space="preserve">Primary Use</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C4622D"/>
                <w:sz w:val="20"/>
                <w:szCs w:val="20"/>
              </w:rPr>
              <w:t xml:space="preserve">Claude (Anthropic)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All phases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Structural guidance, documentation drafting, code scaffolding, schema review, data analysis and insights</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C4622D"/>
                <w:sz w:val="20"/>
                <w:szCs w:val="20"/>
              </w:rPr>
              <w:t xml:space="preserve">ChatGPT (OpenAI)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Phase 2, 3 &amp; 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Roadmap generation, to-do list planning, dataset structure brainstorming, ML concept explanations, clarifying technical misunderstandings</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C4622D"/>
                <w:sz w:val="20"/>
                <w:szCs w:val="20"/>
              </w:rPr>
              <w:t xml:space="preserve">Google Gemini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Phase 1, 2 &amp; 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Gold layer SQL development, warehouse validation checks, ad hoc business question generation, code validation in Google Colab</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C4622D"/>
                <w:sz w:val="20"/>
                <w:szCs w:val="20"/>
              </w:rPr>
              <w:t xml:space="preserve">GitHub Copilot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Phase 4</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Python code autocomplete and error correction in ML notebooks</w:t>
            </w:r>
          </w:p>
        </w:tc>
      </w:tr>
      <w:tr>
        <w:tc>
          <w:tcPr>
            <w:tcW w:type="dxa" w:w="220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b/>
                <w:bCs/>
                <w:color w:val="C4622D"/>
                <w:sz w:val="20"/>
                <w:szCs w:val="20"/>
              </w:rPr>
              <w:t xml:space="preserve">Luca Studio (AI-assisted)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Phase 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AI-assisted dashboard layout suggestions and chart type recommendations</w:t>
            </w:r>
          </w:p>
        </w:tc>
      </w:tr>
    </w:tbl>
    <w:p>
      <w:pPr>
        <w:pBdr>
          <w:bottom w:val="single" w:color="E8E0D0" w:sz="4" w:space="1"/>
        </w:pBdr>
        <w:spacing w:before="140" w:after="140"/>
      </w:pPr>
    </w:p>
    <w:p>
      <w:pPr>
        <w:pStyle w:val="Heading1"/>
        <w:spacing w:before="360" w:after="120"/>
      </w:pPr>
      <w:r>
        <w:rPr>
          <w:rFonts w:ascii="Arial" w:cs="Arial" w:eastAsia="Arial" w:hAnsi="Arial"/>
          <w:b/>
          <w:bCs/>
          <w:color w:val="1C3333"/>
          <w:sz w:val="32"/>
          <w:szCs w:val="32"/>
        </w:rPr>
        <w:t xml:space="preserve">3. Phase-by-Phase AI Usage</w:t>
      </w:r>
    </w:p>
    <w:p>
      <w:pPr>
        <w:pStyle w:val="Heading2"/>
        <w:spacing w:before="240" w:after="80"/>
      </w:pPr>
      <w:r>
        <w:rPr>
          <w:rFonts w:ascii="Arial" w:cs="Arial" w:eastAsia="Arial" w:hAnsi="Arial"/>
          <w:b/>
          <w:bCs/>
          <w:color w:val="C4622D"/>
          <w:sz w:val="24"/>
          <w:szCs w:val="24"/>
        </w:rPr>
        <w:t xml:space="preserve">Phase 1 — Data Warehouse &amp; Schema Design</w:t>
      </w:r>
    </w:p>
    <w:p>
      <w:pPr>
        <w:spacing w:before="60" w:after="80"/>
      </w:pPr>
      <w:r>
        <w:rPr>
          <w:rFonts w:ascii="Arial" w:cs="Arial" w:eastAsia="Arial" w:hAnsi="Arial"/>
          <w:sz w:val="22"/>
          <w:szCs w:val="22"/>
        </w:rPr>
        <w:t xml:space="preserve">The data warehouse phase presented the team's first major challenge: how do you build a data pipeline for a platform that does not yet have real users? Claude was used to think through the Medallion Architecture — discussing the purpose of Bronze, Silver and Gold layers, what transformations were appropriate at each stage, and how to structure the schema to support future analytics without over-engineering it.</w:t>
      </w:r>
    </w:p>
    <w:p>
      <w:pPr>
        <w:spacing w:before="80" w:after="80"/>
      </w:pPr>
    </w:p>
    <w:p>
      <w:pPr>
        <w:spacing w:before="60" w:after="80"/>
      </w:pPr>
      <w:r>
        <w:rPr>
          <w:rFonts w:ascii="Arial" w:cs="Arial" w:eastAsia="Arial" w:hAnsi="Arial"/>
          <w:sz w:val="22"/>
          <w:szCs w:val="22"/>
        </w:rPr>
        <w:t xml:space="preserve">When designing the schema on dbdiagram.io, Claude was used to review the entity relationships and flag potential issues with the foreign key structure before any data was generated. This saved the team from discovering referential integrity errors after hundreds of rows of synthetic data had already been created.</w:t>
      </w:r>
    </w:p>
    <w:p>
      <w:pPr>
        <w:spacing w:before="80" w:after="80"/>
      </w:pPr>
    </w:p>
    <w:p>
      <w:pPr>
        <w:spacing w:before="60" w:after="80"/>
      </w:pPr>
      <w:r>
        <w:rPr>
          <w:rFonts w:ascii="Arial" w:cs="Arial" w:eastAsia="Arial" w:hAnsi="Arial"/>
          <w:sz w:val="22"/>
          <w:szCs w:val="22"/>
        </w:rPr>
        <w:t xml:space="preserve">Google Gemini played a specific and important role in the Gold layer. After the Bronze and Silver layers were structured, Gemini was used to help develop the Gold layer SQL — the business-level aggregates and curated views that power the dashboards and machine learning pipeline. Gemini was also used to run validation checks on the warehouse, ensuring that the data flowing through each layer was clean, consistent and correctly transformed before it reached the analytics layer.</w:t>
      </w:r>
    </w:p>
    <w:p>
      <w:pPr>
        <w:spacing w:before="80" w:after="80"/>
      </w:pPr>
    </w:p>
    <w:p>
      <w:pPr>
        <w:pStyle w:val="Heading2"/>
        <w:spacing w:before="240" w:after="80"/>
      </w:pPr>
      <w:r>
        <w:rPr>
          <w:rFonts w:ascii="Arial" w:cs="Arial" w:eastAsia="Arial" w:hAnsi="Arial"/>
          <w:b/>
          <w:bCs/>
          <w:color w:val="C4622D"/>
          <w:sz w:val="24"/>
          <w:szCs w:val="24"/>
        </w:rPr>
        <w:t xml:space="preserve">Phase 2 — Ad Hoc Analysis</w:t>
      </w:r>
    </w:p>
    <w:p>
      <w:pPr>
        <w:spacing w:before="60" w:after="80"/>
      </w:pPr>
      <w:r>
        <w:rPr>
          <w:rFonts w:ascii="Arial" w:cs="Arial" w:eastAsia="Arial" w:hAnsi="Arial"/>
          <w:sz w:val="22"/>
          <w:szCs w:val="22"/>
        </w:rPr>
        <w:t xml:space="preserve">The ad hoc analysis phase required moving quickly from raw data to business questions. Google Gemini was used to help generate the core business questions that shaped the four ad hoc dashboard visualizations — turning a broad brief about learner engagement into specific, investigable questions that could be answered with the available data. This meant the dashboard was driven by real analytical intent rather than just displaying whatever charts were easy to build.</w:t>
      </w:r>
    </w:p>
    <w:p>
      <w:pPr>
        <w:spacing w:before="80" w:after="80"/>
      </w:pPr>
    </w:p>
    <w:p>
      <w:pPr>
        <w:spacing w:before="60" w:after="80"/>
      </w:pPr>
      <w:r>
        <w:rPr>
          <w:rFonts w:ascii="Arial" w:cs="Arial" w:eastAsia="Arial" w:hAnsi="Arial"/>
          <w:sz w:val="22"/>
          <w:szCs w:val="22"/>
        </w:rPr>
        <w:t xml:space="preserve">ChatGPT and Claude were used to help frame those questions in language that would resonate with non-technical stakeholders, and to interpret the findings — particularly the scatter plot analysis of high-progress, low-score users and what that pattern means for intervention strategy. The dashboard was built in Luca Studio, which itself uses AI-assisted suggestions for layout and chart type selection.</w:t>
      </w:r>
    </w:p>
    <w:p>
      <w:pPr>
        <w:spacing w:before="80" w:after="80"/>
      </w:pPr>
    </w:p>
    <w:p>
      <w:pPr>
        <w:pStyle w:val="Heading2"/>
        <w:spacing w:before="240" w:after="80"/>
      </w:pPr>
      <w:r>
        <w:rPr>
          <w:rFonts w:ascii="Arial" w:cs="Arial" w:eastAsia="Arial" w:hAnsi="Arial"/>
          <w:b/>
          <w:bCs/>
          <w:color w:val="C4622D"/>
          <w:sz w:val="24"/>
          <w:szCs w:val="24"/>
        </w:rPr>
        <w:t xml:space="preserve">Phase 3 — Dashboards</w:t>
      </w:r>
    </w:p>
    <w:p>
      <w:pPr>
        <w:spacing w:before="60" w:after="80"/>
      </w:pPr>
      <w:r>
        <w:rPr>
          <w:rFonts w:ascii="Arial" w:cs="Arial" w:eastAsia="Arial" w:hAnsi="Arial"/>
          <w:sz w:val="22"/>
          <w:szCs w:val="22"/>
        </w:rPr>
        <w:t xml:space="preserve">The dashboard phase involved building two interactive analytics dashboards. The team used Claude as a structural guide — planning the layout architecture, determining which KPIs and chart types were most appropriate for each business question, and defining how the HTML, CSS and JavaScript components should be organized. The team then used that scaffold to write, refine and customize the actual code, applying the Lumen-Ra color palette and ensuring the dashboards functioned correctly across different browsers.</w:t>
      </w:r>
    </w:p>
    <w:p>
      <w:pPr>
        <w:spacing w:before="80" w:after="80"/>
      </w:pPr>
    </w:p>
    <w:p>
      <w:pPr>
        <w:spacing w:before="60" w:after="80"/>
      </w:pPr>
      <w:r>
        <w:rPr>
          <w:rFonts w:ascii="Arial" w:cs="Arial" w:eastAsia="Arial" w:hAnsi="Arial"/>
          <w:sz w:val="22"/>
          <w:szCs w:val="22"/>
        </w:rPr>
        <w:t xml:space="preserve">AI was also used to help define and validate the measures used inside the dashboards — ensuring that KPI calculations such as return rate, average quiz score and completion rate were correctly structured and consistent across both dashboards. ChatGPT was used to sense-check the logic of these calculations before they were finalized, functioning as a peer reviewer for the analytical work.</w:t>
      </w:r>
    </w:p>
    <w:p>
      <w:pPr>
        <w:spacing w:before="80" w:after="80"/>
      </w:pPr>
    </w:p>
    <w:p>
      <w:pPr>
        <w:spacing w:before="60" w:after="80"/>
      </w:pPr>
      <w:r>
        <w:rPr>
          <w:rFonts w:ascii="Arial" w:cs="Arial" w:eastAsia="Arial" w:hAnsi="Arial"/>
          <w:sz w:val="22"/>
          <w:szCs w:val="22"/>
        </w:rPr>
        <w:t xml:space="preserve">AI was also used to explore the underlying data and surface patterns that were then built into the dashboards as highlighted insights — including the finding that text modules outperform video by 4.7 points, and that learners who return for a fourth session score 8.4 points higher on average.</w:t>
      </w:r>
    </w:p>
    <w:p>
      <w:pPr>
        <w:spacing w:before="80" w:after="80"/>
      </w:pPr>
    </w:p>
    <w:p>
      <w:pPr>
        <w:pStyle w:val="Heading2"/>
        <w:spacing w:before="240" w:after="80"/>
      </w:pPr>
      <w:r>
        <w:rPr>
          <w:rFonts w:ascii="Arial" w:cs="Arial" w:eastAsia="Arial" w:hAnsi="Arial"/>
          <w:b/>
          <w:bCs/>
          <w:color w:val="C4622D"/>
          <w:sz w:val="24"/>
          <w:szCs w:val="24"/>
        </w:rPr>
        <w:t xml:space="preserve">Phase 4 — Machine Learning</w:t>
      </w:r>
    </w:p>
    <w:p>
      <w:pPr>
        <w:spacing w:before="60" w:after="80"/>
      </w:pPr>
      <w:r>
        <w:rPr>
          <w:rFonts w:ascii="Arial" w:cs="Arial" w:eastAsia="Arial" w:hAnsi="Arial"/>
          <w:sz w:val="22"/>
          <w:szCs w:val="22"/>
        </w:rPr>
        <w:t xml:space="preserve">The machine learning phase saw the most varied and hands-on use of AI tools across the project. Before any technical work began, the team used ChatGPT to help generate a structured project roadmap after an initial brainstorming session — translating the team's ideas into a sequenced, realistic plan covering EDA, feature engineering, modelling and output integration. AI was also used to generate to-do lists at the start of each working session, breaking the roadmap into specific, actionable tasks so nothing was missed.</w:t>
      </w:r>
    </w:p>
    <w:p>
      <w:pPr>
        <w:spacing w:before="80" w:after="80"/>
      </w:pPr>
    </w:p>
    <w:p>
      <w:pPr>
        <w:spacing w:before="60" w:after="80"/>
      </w:pPr>
      <w:r>
        <w:rPr>
          <w:rFonts w:ascii="Arial" w:cs="Arial" w:eastAsia="Arial" w:hAnsi="Arial"/>
          <w:sz w:val="22"/>
          <w:szCs w:val="22"/>
        </w:rPr>
        <w:t xml:space="preserve">When it came to the data itself, AI was used to help think through the structure of the synthetic dataset before it was generated in Mockaroo — discussing what fields would be most useful for machine learning, what realistic value ranges should look like, and how the weekly behavioral features should be represented. This front-loaded thinking made the actual data generation process faster and produced a more ML-ready dataset from the start.</w:t>
      </w:r>
    </w:p>
    <w:p>
      <w:pPr>
        <w:spacing w:before="80" w:after="80"/>
      </w:pPr>
    </w:p>
    <w:p>
      <w:pPr>
        <w:spacing w:before="60" w:after="80"/>
      </w:pPr>
      <w:r>
        <w:rPr>
          <w:rFonts w:ascii="Arial" w:cs="Arial" w:eastAsia="Arial" w:hAnsi="Arial"/>
          <w:sz w:val="22"/>
          <w:szCs w:val="22"/>
        </w:rPr>
        <w:t xml:space="preserve">Google Gemini and GitHub Copilot were both used to validate Python code in the Google Colab notebooks — checking that the Pandas operations for weekly aggregation and the Scikit-learn Logistic Regression implementation were correctly written before the pipeline was run in full. Having AI validate the code in real time gave the team confidence that results were accurate even when working with unfamiliar libraries.</w:t>
      </w:r>
    </w:p>
    <w:p>
      <w:pPr>
        <w:spacing w:before="80" w:after="80"/>
      </w:pPr>
    </w:p>
    <w:p>
      <w:pPr>
        <w:spacing w:before="60" w:after="80"/>
      </w:pPr>
      <w:r>
        <w:rPr>
          <w:rFonts w:ascii="Arial" w:cs="Arial" w:eastAsia="Arial" w:hAnsi="Arial"/>
          <w:sz w:val="22"/>
          <w:szCs w:val="22"/>
        </w:rPr>
        <w:t xml:space="preserve">ChatGPT and Claude were also used throughout Phase 4 to clarify machine learning concepts that the team encountered during implementation — understanding why certain model evaluation metrics were appropriate, how to interpret probability outputs from Logistic Regression, and how to communicate those results clearly to non-technical stakeholders. When misunderstandings arose, AI helped the team work through them quickly rather than losing time to confusion.</w:t>
      </w:r>
    </w:p>
    <w:p>
      <w:pPr>
        <w:pBdr>
          <w:bottom w:val="single" w:color="E8E0D0" w:sz="4" w:space="1"/>
        </w:pBdr>
        <w:spacing w:before="140" w:after="140"/>
      </w:pPr>
    </w:p>
    <w:p>
      <w:pPr>
        <w:pStyle w:val="Heading1"/>
        <w:spacing w:before="360" w:after="120"/>
      </w:pPr>
      <w:r>
        <w:rPr>
          <w:rFonts w:ascii="Arial" w:cs="Arial" w:eastAsia="Arial" w:hAnsi="Arial"/>
          <w:b/>
          <w:bCs/>
          <w:color w:val="1C3333"/>
          <w:sz w:val="32"/>
          <w:szCs w:val="32"/>
        </w:rPr>
        <w:t xml:space="preserve">4. AI in Documentation</w:t>
      </w:r>
    </w:p>
    <w:p>
      <w:pPr>
        <w:spacing w:before="60" w:after="80"/>
      </w:pPr>
      <w:r>
        <w:rPr>
          <w:rFonts w:ascii="Arial" w:cs="Arial" w:eastAsia="Arial" w:hAnsi="Arial"/>
          <w:sz w:val="22"/>
          <w:szCs w:val="22"/>
        </w:rPr>
        <w:t xml:space="preserve">The full project documentation — including the technical write-up, the README files for each phase folder, and this AI integration report — was produced with significant Claude assistance. The team provided all of the facts, data, context and decisions. Claude helped structure them into coherent, professional documents with appropriate headings, flow and language.</w:t>
      </w:r>
    </w:p>
    <w:p>
      <w:pPr>
        <w:spacing w:before="80" w:after="80"/>
      </w:pPr>
    </w:p>
    <w:p>
      <w:pPr>
        <w:spacing w:before="60" w:after="80"/>
      </w:pPr>
      <w:r>
        <w:rPr>
          <w:rFonts w:ascii="Arial" w:cs="Arial" w:eastAsia="Arial" w:hAnsi="Arial"/>
          <w:sz w:val="22"/>
          <w:szCs w:val="22"/>
        </w:rPr>
        <w:t xml:space="preserve">AI was also used to revise technical explanations for clarity and stakeholder engagement — translating dense analytical language into plain English that a non-technical reader could follow. The accuracy and integrity of the documentation remains entirely the team's responsibility.</w:t>
      </w:r>
    </w:p>
    <w:p>
      <w:pPr>
        <w:pBdr>
          <w:bottom w:val="single" w:color="E8E0D0" w:sz="4" w:space="1"/>
        </w:pBdr>
        <w:spacing w:before="140" w:after="140"/>
      </w:pPr>
    </w:p>
    <w:p>
      <w:pPr>
        <w:pStyle w:val="Heading1"/>
        <w:spacing w:before="360" w:after="120"/>
      </w:pPr>
      <w:r>
        <w:rPr>
          <w:rFonts w:ascii="Arial" w:cs="Arial" w:eastAsia="Arial" w:hAnsi="Arial"/>
          <w:b/>
          <w:bCs/>
          <w:color w:val="1C3333"/>
          <w:sz w:val="32"/>
          <w:szCs w:val="32"/>
        </w:rPr>
        <w:t xml:space="preserve">5. Responsible AI Use — What We Did and Did Not Do</w:t>
      </w:r>
    </w:p>
    <w:p>
      <w:pPr>
        <w:spacing w:before="60" w:after="80"/>
      </w:pPr>
      <w:r>
        <w:rPr>
          <w:rFonts w:ascii="Arial" w:cs="Arial" w:eastAsia="Arial" w:hAnsi="Arial"/>
          <w:sz w:val="22"/>
          <w:szCs w:val="22"/>
        </w:rPr>
        <w:t xml:space="preserve">Throughout the project, AI was used deliberately and transparently. It accelerated and improved the work — it did not do the work.</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4622D" w:sz="1"/>
              <w:left w:val="single" w:color="C4622D" w:sz="1"/>
              <w:bottom w:val="single" w:color="C4622D" w:sz="1"/>
              <w:right w:val="single" w:color="C4622D" w:sz="1"/>
            </w:tcBorders>
            <w:shd w:fill="1C3333" w:val="clear"/>
            <w:tcMar>
              <w:top w:type="dxa" w:w="80"/>
              <w:left w:type="dxa" w:w="120"/>
              <w:bottom w:type="dxa" w:w="80"/>
              <w:right w:type="dxa" w:w="120"/>
            </w:tcMar>
          </w:tcPr>
          <w:p>
            <w:r>
              <w:rPr>
                <w:rFonts w:ascii="Arial" w:cs="Arial" w:eastAsia="Arial" w:hAnsi="Arial"/>
                <w:b/>
                <w:bCs/>
                <w:color w:val="FFFFFF"/>
                <w:sz w:val="20"/>
                <w:szCs w:val="20"/>
              </w:rPr>
              <w:t xml:space="preserve">What AI Was Used For</w:t>
            </w:r>
          </w:p>
        </w:tc>
        <w:tc>
          <w:tcPr>
            <w:tcW w:type="dxa" w:w="4680"/>
            <w:tcBorders>
              <w:top w:val="single" w:color="C4622D" w:sz="1"/>
              <w:left w:val="single" w:color="C4622D" w:sz="1"/>
              <w:bottom w:val="single" w:color="C4622D" w:sz="1"/>
              <w:right w:val="single" w:color="C4622D" w:sz="1"/>
            </w:tcBorders>
            <w:shd w:fill="1C3333" w:val="clear"/>
            <w:tcMar>
              <w:top w:type="dxa" w:w="80"/>
              <w:left w:type="dxa" w:w="120"/>
              <w:bottom w:type="dxa" w:w="80"/>
              <w:right w:type="dxa" w:w="120"/>
            </w:tcMar>
          </w:tcPr>
          <w:p>
            <w:r>
              <w:rPr>
                <w:rFonts w:ascii="Arial" w:cs="Arial" w:eastAsia="Arial" w:hAnsi="Arial"/>
                <w:b/>
                <w:bCs/>
                <w:color w:val="FFFFFF"/>
                <w:sz w:val="20"/>
                <w:szCs w:val="20"/>
              </w:rPr>
              <w:t xml:space="preserve">What AI Was NOT Used For</w:t>
            </w:r>
          </w:p>
        </w:tc>
      </w:tr>
      <w:tr>
        <w:tc>
          <w:tcPr>
            <w:tcW w:type="dxa" w:w="468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color w:val="2C2C2C"/>
                <w:sz w:val="20"/>
                <w:szCs w:val="20"/>
              </w:rPr>
              <w:t xml:space="preserve">Developing Gold layer SQL with Gemini guidance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Designing the warehouse architecture or layer structure</w:t>
            </w:r>
          </w:p>
        </w:tc>
      </w:tr>
      <w:tr>
        <w:tc>
          <w:tcPr>
            <w:tcW w:type="dxa" w:w="468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color w:val="2C2C2C"/>
                <w:sz w:val="20"/>
                <w:szCs w:val="20"/>
              </w:rPr>
              <w:t xml:space="preserve">Running validation checks on the warehouse layers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Deciding what clean data should look like — that required domain knowledge</w:t>
            </w:r>
          </w:p>
        </w:tc>
      </w:tr>
      <w:tr>
        <w:tc>
          <w:tcPr>
            <w:tcW w:type="dxa" w:w="468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color w:val="2C2C2C"/>
                <w:sz w:val="20"/>
                <w:szCs w:val="20"/>
              </w:rPr>
              <w:t xml:space="preserve">Generating the ad hoc business questions with Gemini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Deciding which questions mattered for the platform — that required context</w:t>
            </w:r>
          </w:p>
        </w:tc>
      </w:tr>
      <w:tr>
        <w:tc>
          <w:tcPr>
            <w:tcW w:type="dxa" w:w="468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color w:val="2C2C2C"/>
                <w:sz w:val="20"/>
                <w:szCs w:val="20"/>
              </w:rPr>
              <w:t xml:space="preserve">Generating a project roadmap from the team's brainstorm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Deciding the project direction or scope</w:t>
            </w:r>
          </w:p>
        </w:tc>
      </w:tr>
      <w:tr>
        <w:tc>
          <w:tcPr>
            <w:tcW w:type="dxa" w:w="468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color w:val="2C2C2C"/>
                <w:sz w:val="20"/>
                <w:szCs w:val="20"/>
              </w:rPr>
              <w:t xml:space="preserve">Breaking the roadmap into actionable to-do lists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Prioritizing tasks — the team made those calls</w:t>
            </w:r>
          </w:p>
        </w:tc>
      </w:tr>
      <w:tr>
        <w:tc>
          <w:tcPr>
            <w:tcW w:type="dxa" w:w="468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color w:val="2C2C2C"/>
                <w:sz w:val="20"/>
                <w:szCs w:val="20"/>
              </w:rPr>
              <w:t xml:space="preserve">Thinking through dataset structure before Mockaroo generation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Generating or fabricating the actual data</w:t>
            </w:r>
          </w:p>
        </w:tc>
      </w:tr>
      <w:tr>
        <w:tc>
          <w:tcPr>
            <w:tcW w:type="dxa" w:w="468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color w:val="2C2C2C"/>
                <w:sz w:val="20"/>
                <w:szCs w:val="20"/>
              </w:rPr>
              <w:t xml:space="preserve">Validating Python code in Google Colab notebooks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Writing the core ML pipeline logic without human oversight</w:t>
            </w:r>
          </w:p>
        </w:tc>
      </w:tr>
      <w:tr>
        <w:tc>
          <w:tcPr>
            <w:tcW w:type="dxa" w:w="468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color w:val="2C2C2C"/>
                <w:sz w:val="20"/>
                <w:szCs w:val="20"/>
              </w:rPr>
              <w:t xml:space="preserve">Providing structural scaffolding for dashboard layout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Deciding what the dashboards should measure or show</w:t>
            </w:r>
          </w:p>
        </w:tc>
      </w:tr>
      <w:tr>
        <w:tc>
          <w:tcPr>
            <w:tcW w:type="dxa" w:w="468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color w:val="2C2C2C"/>
                <w:sz w:val="20"/>
                <w:szCs w:val="20"/>
              </w:rPr>
              <w:t xml:space="preserve">Clarifying ML concepts and resolving misunderstandings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Making modelling decisions — those required team judgment</w:t>
            </w:r>
          </w:p>
        </w:tc>
      </w:tr>
      <w:tr>
        <w:tc>
          <w:tcPr>
            <w:tcW w:type="dxa" w:w="4680"/>
            <w:tcBorders>
              <w:top w:val="single" w:color="CCCCCC" w:sz="1"/>
              <w:left w:val="single" w:color="CCCCCC" w:sz="1"/>
              <w:bottom w:val="single" w:color="CCCCCC" w:sz="1"/>
              <w:right w:val="single" w:color="CCCCCC" w:sz="1"/>
            </w:tcBorders>
            <w:shd w:fill="FAF7F2" w:val="clear"/>
            <w:tcMar>
              <w:top w:type="dxa" w:w="80"/>
              <w:left w:type="dxa" w:w="120"/>
              <w:bottom w:type="dxa" w:w="80"/>
              <w:right w:type="dxa" w:w="120"/>
            </w:tcMar>
          </w:tcPr>
          <w:p>
            <w:r>
              <w:rPr>
                <w:rFonts w:ascii="Arial" w:cs="Arial" w:eastAsia="Arial" w:hAnsi="Arial"/>
                <w:color w:val="2C2C2C"/>
                <w:sz w:val="20"/>
                <w:szCs w:val="20"/>
              </w:rPr>
              <w:t xml:space="preserve">Revising technical language for stakeholder clarity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C"/>
                <w:sz w:val="20"/>
                <w:szCs w:val="20"/>
              </w:rPr>
              <w:t xml:space="preserve">Generating findings or insights the data did not support</w:t>
            </w:r>
          </w:p>
        </w:tc>
      </w:tr>
    </w:tbl>
    <w:p>
      <w:pPr>
        <w:pBdr>
          <w:bottom w:val="single" w:color="E8E0D0" w:sz="4" w:space="1"/>
        </w:pBdr>
        <w:spacing w:before="140" w:after="140"/>
      </w:pPr>
    </w:p>
    <w:p>
      <w:pPr>
        <w:pStyle w:val="Heading1"/>
        <w:spacing w:before="360" w:after="120"/>
      </w:pPr>
      <w:r>
        <w:rPr>
          <w:rFonts w:ascii="Arial" w:cs="Arial" w:eastAsia="Arial" w:hAnsi="Arial"/>
          <w:b/>
          <w:bCs/>
          <w:color w:val="1C3333"/>
          <w:sz w:val="32"/>
          <w:szCs w:val="32"/>
        </w:rPr>
        <w:t xml:space="preserve">6. Conclusion</w:t>
      </w:r>
    </w:p>
    <w:p>
      <w:pPr>
        <w:spacing w:before="60" w:after="80"/>
      </w:pPr>
      <w:r>
        <w:rPr>
          <w:rFonts w:ascii="Arial" w:cs="Arial" w:eastAsia="Arial" w:hAnsi="Arial"/>
          <w:sz w:val="22"/>
          <w:szCs w:val="22"/>
        </w:rPr>
        <w:t xml:space="preserve">AI was a meaningful contributor to the quality and speed of this project. It helped the team plan more clearly, build more efficiently, validate more confidently, and communicate more effectively. From generating the project roadmap to validating the Gold layer SQL, from clarifying machine learning concepts to structuring the final documentation, AI was present at every stage as a capable and responsive technical partner.</w:t>
      </w:r>
    </w:p>
    <w:p>
      <w:pPr>
        <w:spacing w:before="80" w:after="80"/>
      </w:pPr>
    </w:p>
    <w:p>
      <w:pPr>
        <w:spacing w:before="60" w:after="80"/>
      </w:pPr>
      <w:r>
        <w:rPr>
          <w:rFonts w:ascii="Arial" w:cs="Arial" w:eastAsia="Arial" w:hAnsi="Arial"/>
          <w:sz w:val="22"/>
          <w:szCs w:val="22"/>
        </w:rPr>
        <w:t xml:space="preserve">At the same time, the value of this project came from the team. The data architecture was designed by people who understood the platform's needs. The business questions were asked by people who understood the SDG 5 mission. The roadmap was built by people who understood what was achievable. The insights were validated by people who understood what the numbers meant for real learners going through a digital allyship programme. As one team member put it — AI was used as an assistive technology, a supplement and not a replacement, and the team achieved results sooner with complete ownership.</w:t>
      </w:r>
    </w:p>
    <w:p>
      <w:pPr>
        <w:spacing w:before="80" w:after="80"/>
      </w:pPr>
    </w:p>
    <w:p>
      <w:pPr>
        <w:spacing w:before="60" w:after="80"/>
      </w:pPr>
      <w:r>
        <w:rPr>
          <w:rFonts w:ascii="Arial" w:cs="Arial" w:eastAsia="Arial" w:hAnsi="Arial"/>
          <w:sz w:val="22"/>
          <w:szCs w:val="22"/>
        </w:rPr>
        <w:t xml:space="preserve">AI made the team faster, sharper and more polished. The team made the project meaningful.</w:t>
      </w:r>
    </w:p>
    <w:p>
      <w:pPr>
        <w:spacing w:before="80" w:after="80"/>
      </w:pPr>
    </w:p>
    <w:p>
      <w:pPr>
        <w:spacing w:before="80" w:after="80"/>
      </w:pPr>
    </w:p>
    <w:p>
      <w:pPr>
        <w:spacing w:before="160" w:after="40"/>
        <w:jc w:val="center"/>
      </w:pPr>
      <w:r>
        <w:rPr>
          <w:rFonts w:ascii="Arial" w:cs="Arial" w:eastAsia="Arial" w:hAnsi="Arial"/>
          <w:b/>
          <w:bCs/>
          <w:color w:val="1C3333"/>
          <w:sz w:val="22"/>
          <w:szCs w:val="22"/>
        </w:rPr>
        <w:t xml:space="preserve">Lumen-Ra  ·  Team 39  ·  Women Tech Fest 2025</w:t>
      </w:r>
    </w:p>
    <w:p>
      <w:pPr>
        <w:spacing w:before="0" w:after="40"/>
        <w:jc w:val="center"/>
      </w:pPr>
      <w:r>
        <w:rPr>
          <w:rFonts w:ascii="Arial" w:cs="Arial" w:eastAsia="Arial" w:hAnsi="Arial"/>
          <w:color w:val="C4622D"/>
          <w:sz w:val="20"/>
          <w:szCs w:val="20"/>
        </w:rPr>
        <w:t xml:space="preserve">SDG 5 — Gender Equality  ·  AI Integration Report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E0D0" w:sz="4" w:space="1"/>
      </w:pBdr>
      <w:spacing w:before="100"/>
      <w:jc w:val="center"/>
    </w:pPr>
    <w:r>
      <w:rPr>
        <w:rFonts w:ascii="Arial" w:cs="Arial" w:eastAsia="Arial" w:hAnsi="Arial"/>
        <w:color w:val="8A9099"/>
        <w:sz w:val="18"/>
        <w:szCs w:val="18"/>
      </w:rPr>
      <w:t xml:space="preserve">Lumen-Ra  ·  Team 39  ·  SDG 5 — Gender Equality  ·  Women Tech Fest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4622D" w:sz="6" w:space="1"/>
      </w:pBdr>
      <w:spacing w:after="100"/>
    </w:pPr>
    <w:r>
      <w:rPr>
        <w:rFonts w:ascii="Arial" w:cs="Arial" w:eastAsia="Arial" w:hAnsi="Arial"/>
        <w:b/>
        <w:bCs/>
        <w:color w:val="1C3333"/>
        <w:sz w:val="18"/>
        <w:szCs w:val="18"/>
      </w:rPr>
      <w:t xml:space="preserve">LUMEN-RA  |  AI Integration Report  |  Team 39  |  Women Tech Fest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2026-02-27T12:10:04.683Z</dcterms:created>
  <dcterms:modified xsi:type="dcterms:W3CDTF">2026-02-27T12:10:04.684Z</dcterms:modified>
</cp:coreProperties>
</file>

<file path=docProps/custom.xml><?xml version="1.0" encoding="utf-8"?>
<Properties xmlns="http://schemas.openxmlformats.org/officeDocument/2006/custom-properties" xmlns:vt="http://schemas.openxmlformats.org/officeDocument/2006/docPropsVTypes"/>
</file>