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C3333"/>
          <w:sz w:val="80"/>
          <w:szCs w:val="80"/>
        </w:rPr>
        <w:t xml:space="preserve">LUMERA</w:t>
      </w:r>
    </w:p>
    <w:p>
      <w:pPr>
        <w:spacing w:before="0" w:after="60"/>
        <w:jc w:val="center"/>
      </w:pPr>
      <w:r>
        <w:rPr>
          <w:rFonts w:ascii="Arial" w:cs="Arial" w:eastAsia="Arial" w:hAnsi="Arial"/>
          <w:color w:val="C4622D"/>
          <w:sz w:val="40"/>
          <w:szCs w:val="40"/>
        </w:rPr>
        <w:t xml:space="preserve">Digital Allyship Toolkit</w:t>
      </w:r>
    </w:p>
    <w:p>
      <w:pPr>
        <w:spacing w:before="0" w:after="60"/>
        <w:jc w:val="center"/>
      </w:pPr>
      <w:r>
        <w:rPr>
          <w:rFonts w:ascii="Arial" w:cs="Arial" w:eastAsia="Arial" w:hAnsi="Arial"/>
          <w:color w:val="7A9E87"/>
          <w:sz w:val="28"/>
          <w:szCs w:val="28"/>
        </w:rPr>
        <w:t xml:space="preserve">End-to-End Analytics — Full Technical Documentation</w:t>
      </w:r>
    </w:p>
    <w:p>
      <w:pPr>
        <w:spacing w:before="80" w:after="80"/>
      </w:pPr>
    </w:p>
    <w:p>
      <w:pPr>
        <w:spacing w:before="80"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35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Digital Allyship Analytics Warehouse</w:t>
            </w:r>
          </w:p>
        </w:tc>
      </w:tr>
      <w:tr>
        <w:tc>
          <w:tcPr>
            <w:tcW w:type="dxa" w:w="2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2C2C2C"/>
                <w:sz w:val="20"/>
                <w:szCs w:val="20"/>
              </w:rPr>
              <w:t xml:space="preserve">Team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Lumera — Team 39</w:t>
            </w:r>
          </w:p>
        </w:tc>
      </w:tr>
      <w:tr>
        <w:tc>
          <w:tcPr>
            <w:tcW w:type="dxa" w:w="2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2C2C2C"/>
                <w:sz w:val="20"/>
                <w:szCs w:val="20"/>
              </w:rPr>
              <w:t xml:space="preserve">Programme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Women Tech Fest 2025</w:t>
            </w:r>
          </w:p>
        </w:tc>
      </w:tr>
      <w:tr>
        <w:tc>
          <w:tcPr>
            <w:tcW w:type="dxa" w:w="2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2C2C2C"/>
                <w:sz w:val="20"/>
                <w:szCs w:val="20"/>
              </w:rPr>
              <w:t xml:space="preserve">SDG Alignment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SDG 5 — Gender Equality</w:t>
            </w:r>
          </w:p>
        </w:tc>
      </w:tr>
      <w:tr>
        <w:tc>
          <w:tcPr>
            <w:tcW w:type="dxa" w:w="2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2C2C2C"/>
                <w:sz w:val="20"/>
                <w:szCs w:val="20"/>
              </w:rPr>
              <w:t xml:space="preserve">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February 2026</w:t>
            </w:r>
          </w:p>
        </w:tc>
      </w:tr>
      <w:tr>
        <w:tc>
          <w:tcPr>
            <w:tcW w:type="dxa" w:w="2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2C2C2C"/>
                <w:sz w:val="20"/>
                <w:szCs w:val="20"/>
              </w:rPr>
              <w:t xml:space="preserve">Repository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github.com/WANGAR1/Lumera-End-to-End-Analytics</w:t>
            </w:r>
          </w:p>
        </w:tc>
      </w:tr>
    </w:tbl>
    <w:p>
      <w:r>
        <w:r>
          <w:br w:type="page"/>
        </w:r>
      </w:r>
    </w:p>
    <w:p>
      <w:pPr>
        <w:pStyle w:val="Heading1"/>
        <w:spacing w:before="400" w:after="120"/>
      </w:pPr>
      <w:r>
        <w:rPr>
          <w:rFonts w:ascii="Arial" w:cs="Arial" w:eastAsia="Arial" w:hAnsi="Arial"/>
          <w:b/>
          <w:bCs/>
          <w:color w:val="1C3333"/>
          <w:sz w:val="34"/>
          <w:szCs w:val="34"/>
        </w:rPr>
        <w:t xml:space="preserve">1. Project Overview</w:t>
      </w:r>
    </w:p>
    <w:p>
      <w:pPr>
        <w:spacing w:before="60" w:after="80"/>
      </w:pPr>
      <w:r>
        <w:rPr>
          <w:rFonts w:ascii="Arial" w:cs="Arial" w:eastAsia="Arial" w:hAnsi="Arial"/>
          <w:sz w:val="22"/>
          <w:szCs w:val="22"/>
        </w:rPr>
        <w:t xml:space="preserve">Lumera is a Digital Allyship Toolkit designed to equip men aged 16 to 44 with practical, trauma-informed skills to support women experiencing gender-based violence or health-related distress. The platform addresses a well-documented gap between awareness and action — many men recognize the problem of gender-based violence but lack the guided, structured support to respond appropriately when a woman discloses an experience of violence or distress.</w:t>
      </w:r>
    </w:p>
    <w:p>
      <w:pPr>
        <w:spacing w:before="80" w:after="80"/>
      </w:pPr>
    </w:p>
    <w:p>
      <w:pPr>
        <w:spacing w:before="60" w:after="80"/>
      </w:pPr>
      <w:r>
        <w:rPr>
          <w:rFonts w:ascii="Arial" w:cs="Arial" w:eastAsia="Arial" w:hAnsi="Arial"/>
          <w:sz w:val="22"/>
          <w:szCs w:val="22"/>
        </w:rPr>
        <w:t xml:space="preserve">The Data Science and Engineering team was tasked with building the complete analytics infrastructure to support the platform. This meant designing a data warehouse, generating and cleaning data, answering key business questions, building analytical dashboards, and developing machine learning models that can predict learner outcomes and identify at-risk users before they disengage.</w:t>
      </w:r>
    </w:p>
    <w:p>
      <w:pPr>
        <w:spacing w:before="80" w:after="80"/>
      </w:pPr>
    </w:p>
    <w:p>
      <w:pPr>
        <w:spacing w:before="60" w:after="80"/>
      </w:pPr>
      <w:r>
        <w:rPr>
          <w:rFonts w:ascii="Arial" w:cs="Arial" w:eastAsia="Arial" w:hAnsi="Arial"/>
          <w:sz w:val="22"/>
          <w:szCs w:val="22"/>
        </w:rPr>
        <w:t xml:space="preserve">This document tells the full story of that work — from the first design decision to the final machine learning pipeline — as one cohesive end-to-end analytics project.</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2. The Challenge</w:t>
      </w:r>
    </w:p>
    <w:p>
      <w:pPr>
        <w:spacing w:before="60" w:after="80"/>
      </w:pPr>
      <w:r>
        <w:rPr>
          <w:rFonts w:ascii="Arial" w:cs="Arial" w:eastAsia="Arial" w:hAnsi="Arial"/>
          <w:sz w:val="22"/>
          <w:szCs w:val="22"/>
        </w:rPr>
        <w:t xml:space="preserve">The team faced an unusual but not uncommon challenge in real-world data science work: the platform itself was still under development. There were no real users, no live activity logs, and no quiz results to analyze. Yet the capstone deadline was fixed, the analytical infrastructure needed to be built, and the dashboards needed to be ready the moment the platform launched.</w:t>
      </w:r>
    </w:p>
    <w:p>
      <w:pPr>
        <w:spacing w:before="80" w:after="80"/>
      </w:pPr>
    </w:p>
    <w:p>
      <w:pPr>
        <w:spacing w:before="60" w:after="80"/>
      </w:pPr>
      <w:r>
        <w:rPr>
          <w:rFonts w:ascii="Arial" w:cs="Arial" w:eastAsia="Arial" w:hAnsi="Arial"/>
          <w:sz w:val="22"/>
          <w:szCs w:val="22"/>
        </w:rPr>
        <w:t xml:space="preserve">This created three distinct problems that had to be solved in sequence. First, the team needed to design a data architecture that would work for real user data in the future, not just synthetic data today. Second, realistic synthetic data had to be generated that mirrored what the real platform would produce — with proper relationships between tables, realistic score distributions, and meaningful activity patterns. Third, every analytical layer — from SQL queries to machine learning models — had to be built and validated against that synthetic data, with the confidence that the exact same pipeline would work when real data arrived.</w:t>
      </w:r>
    </w:p>
    <w:p>
      <w:pPr>
        <w:spacing w:before="80" w:after="80"/>
      </w:pPr>
    </w:p>
    <w:p>
      <w:pPr>
        <w:spacing w:before="60" w:after="80"/>
      </w:pPr>
      <w:r>
        <w:rPr>
          <w:rFonts w:ascii="Arial" w:cs="Arial" w:eastAsia="Arial" w:hAnsi="Arial"/>
          <w:sz w:val="22"/>
          <w:szCs w:val="22"/>
        </w:rPr>
        <w:t xml:space="preserve">The solution was to treat the synthetic data as a first-class dataset, not a placeholder. Every decision made in the warehouse design, the feature engineering, and the dashboard layouts was made with real-world scalability in mind.</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3. Data Architecture — The Medallion Approach</w:t>
      </w:r>
    </w:p>
    <w:p>
      <w:pPr>
        <w:spacing w:before="60" w:after="80"/>
      </w:pPr>
      <w:r>
        <w:rPr>
          <w:rFonts w:ascii="Arial" w:cs="Arial" w:eastAsia="Arial" w:hAnsi="Arial"/>
          <w:sz w:val="22"/>
          <w:szCs w:val="22"/>
        </w:rPr>
        <w:t xml:space="preserve">The foundation of the entire project is the Medallion Architecture — a three-layer data warehouse design that is widely used in industry precisely because it separates raw data storage from cleaned data from analytics-ready data. Each layer serves a different purpose and a different audience, and together they create a pipeline that is both reliable and scalable.</w:t>
      </w:r>
    </w:p>
    <w:p>
      <w:pPr>
        <w:spacing w:before="80" w:after="80"/>
      </w:pPr>
    </w:p>
    <w:p>
      <w:pPr>
        <w:pStyle w:val="Heading2"/>
        <w:spacing w:before="280" w:after="80"/>
      </w:pPr>
      <w:r>
        <w:rPr>
          <w:rFonts w:ascii="Arial" w:cs="Arial" w:eastAsia="Arial" w:hAnsi="Arial"/>
          <w:b/>
          <w:bCs/>
          <w:color w:val="C4622D"/>
          <w:sz w:val="26"/>
          <w:szCs w:val="26"/>
        </w:rPr>
        <w:t xml:space="preserve">The Bronze Layer — Raw Data</w:t>
      </w:r>
    </w:p>
    <w:p>
      <w:pPr>
        <w:spacing w:before="60" w:after="80"/>
      </w:pPr>
      <w:r>
        <w:rPr>
          <w:rFonts w:ascii="Arial" w:cs="Arial" w:eastAsia="Arial" w:hAnsi="Arial"/>
          <w:sz w:val="22"/>
          <w:szCs w:val="22"/>
        </w:rPr>
        <w:t xml:space="preserve">The Bronze layer is the landing zone. Data arrives here exactly as it was generated or received, with no transformation applied. For this project that meant loading the five CSV files directly into SQL Server tables. The Bronze layer preserves a complete historical record of the original data, which is critical for auditability — if a cleaning step introduces an error later, the original data is always there to recover from.</w:t>
      </w:r>
    </w:p>
    <w:p>
      <w:pPr>
        <w:spacing w:before="80" w:after="80"/>
      </w:pPr>
    </w:p>
    <w:p>
      <w:pPr>
        <w:pStyle w:val="Heading2"/>
        <w:spacing w:before="280" w:after="80"/>
      </w:pPr>
      <w:r>
        <w:rPr>
          <w:rFonts w:ascii="Arial" w:cs="Arial" w:eastAsia="Arial" w:hAnsi="Arial"/>
          <w:b/>
          <w:bCs/>
          <w:color w:val="C4622D"/>
          <w:sz w:val="26"/>
          <w:szCs w:val="26"/>
        </w:rPr>
        <w:t xml:space="preserve">The Silver Layer — Cleaned and Standardized Data</w:t>
      </w:r>
    </w:p>
    <w:p>
      <w:pPr>
        <w:spacing w:before="60" w:after="80"/>
      </w:pPr>
      <w:r>
        <w:rPr>
          <w:rFonts w:ascii="Arial" w:cs="Arial" w:eastAsia="Arial" w:hAnsi="Arial"/>
          <w:sz w:val="22"/>
          <w:szCs w:val="22"/>
        </w:rPr>
        <w:t xml:space="preserve">The Silver layer is where the data becomes trustworthy. Raw data almost always contains issues — duplicate records, inconsistent formats, out-of-range values, and missing fields. The Silver layer applies a set of transformation rules to resolve these issues. For the Lumera dataset this included removing duplicate activity records, standardizing date formats across all tables, validating that quiz scores fell within the expected range of 0 to 100, and critically, excluding the 11 admin accounts from the learner analytics. Admin users are not the platform's target audience and including their activity would have skewed every KPI and completion metric.</w:t>
      </w:r>
    </w:p>
    <w:p>
      <w:pPr>
        <w:spacing w:before="80" w:after="80"/>
      </w:pPr>
    </w:p>
    <w:p>
      <w:pPr>
        <w:pStyle w:val="Heading2"/>
        <w:spacing w:before="280" w:after="80"/>
      </w:pPr>
      <w:r>
        <w:rPr>
          <w:rFonts w:ascii="Arial" w:cs="Arial" w:eastAsia="Arial" w:hAnsi="Arial"/>
          <w:b/>
          <w:bCs/>
          <w:color w:val="C4622D"/>
          <w:sz w:val="26"/>
          <w:szCs w:val="26"/>
        </w:rPr>
        <w:t xml:space="preserve">The Gold Layer — Analytics-Ready Data</w:t>
      </w:r>
    </w:p>
    <w:p>
      <w:pPr>
        <w:spacing w:before="60" w:after="80"/>
      </w:pPr>
      <w:r>
        <w:rPr>
          <w:rFonts w:ascii="Arial" w:cs="Arial" w:eastAsia="Arial" w:hAnsi="Arial"/>
          <w:sz w:val="22"/>
          <w:szCs w:val="22"/>
        </w:rPr>
        <w:t xml:space="preserve">The Gold layer is where the data earns its name. Business-level aggregates and curated views are created here in a star schema structure with fact tables and dimension tables optimized for reporting. The Gold layer is what powers the dashboards, the ad hoc SQL queries, and the machine learning feature engineering. It is designed to answer questions quickly and accurately without requiring complex joins every time a stakeholder needs an insight.</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4. The Data — Schema Design and Synthetic Generation</w:t>
      </w:r>
    </w:p>
    <w:p>
      <w:pPr>
        <w:pStyle w:val="Heading2"/>
        <w:spacing w:before="280" w:after="80"/>
      </w:pPr>
      <w:r>
        <w:rPr>
          <w:rFonts w:ascii="Arial" w:cs="Arial" w:eastAsia="Arial" w:hAnsi="Arial"/>
          <w:b/>
          <w:bCs/>
          <w:color w:val="C4622D"/>
          <w:sz w:val="26"/>
          <w:szCs w:val="26"/>
        </w:rPr>
        <w:t xml:space="preserve">Schema Design</w:t>
      </w:r>
    </w:p>
    <w:p>
      <w:pPr>
        <w:spacing w:before="60" w:after="80"/>
      </w:pPr>
      <w:r>
        <w:rPr>
          <w:rFonts w:ascii="Arial" w:cs="Arial" w:eastAsia="Arial" w:hAnsi="Arial"/>
          <w:sz w:val="22"/>
          <w:szCs w:val="22"/>
        </w:rPr>
        <w:t xml:space="preserve">The database schema was designed using dbdiagram.io before a single row of data was generated. Designing the schema first ensured that the relationships between tables were correct and that every foreign key had a corresponding primary key to reference. The schema contains five tables that together model the complete learning management system.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c>
          <w:tcPr>
            <w:tcW w:type="dxa" w:w="16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4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Rows</w:t>
            </w:r>
          </w:p>
        </w:tc>
        <w:tc>
          <w:tcPr>
            <w:tcW w:type="dxa" w:w="14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t>
            </w:r>
          </w:p>
        </w:tc>
        <w:tc>
          <w:tcPr>
            <w:tcW w:type="dxa" w:w="49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lms_users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user_id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All platform users — learners and admins — with department and role</w:t>
            </w:r>
          </w:p>
        </w:tc>
      </w:tr>
      <w:tr>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lms_courses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course_id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The five learning courses covering GBV awareness, communication, referral and recovery</w:t>
            </w:r>
          </w:p>
        </w:tc>
      </w:tr>
      <w:tr>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lms_modules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module_id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Individual learning modules within each course, with content type (video or text)</w:t>
            </w:r>
          </w:p>
        </w:tc>
      </w:tr>
      <w:tr>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lms_lesson_activity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activity_id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Every learner interaction with a module — status, progress percentage and timestamp</w:t>
            </w:r>
          </w:p>
        </w:tc>
      </w:tr>
      <w:tr>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lms_quiz_attempts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attempt_id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Every quiz attempt with score and date — measures knowledge acquisition</w:t>
            </w:r>
          </w:p>
        </w:tc>
      </w:tr>
    </w:tbl>
    <w:p>
      <w:pPr>
        <w:spacing w:before="80" w:after="80"/>
      </w:pPr>
    </w:p>
    <w:p>
      <w:pPr>
        <w:pStyle w:val="Heading2"/>
        <w:spacing w:before="280" w:after="80"/>
      </w:pPr>
      <w:r>
        <w:rPr>
          <w:rFonts w:ascii="Arial" w:cs="Arial" w:eastAsia="Arial" w:hAnsi="Arial"/>
          <w:b/>
          <w:bCs/>
          <w:color w:val="C4622D"/>
          <w:sz w:val="26"/>
          <w:szCs w:val="26"/>
        </w:rPr>
        <w:t xml:space="preserve">Synthetic Data Generation</w:t>
      </w:r>
    </w:p>
    <w:p>
      <w:pPr>
        <w:spacing w:before="60" w:after="80"/>
      </w:pPr>
      <w:r>
        <w:rPr>
          <w:rFonts w:ascii="Arial" w:cs="Arial" w:eastAsia="Arial" w:hAnsi="Arial"/>
          <w:sz w:val="22"/>
          <w:szCs w:val="22"/>
        </w:rPr>
        <w:t xml:space="preserve">All data was generated using Mockaroo, a professional synthetic data platform that allows precise control over data types, value ranges, and relationships between fields. The most important constraint in generating multi-table data is dependency order — a child table cannot be generated before its parent table because the foreign key values must exist before they can be referenced.</w:t>
      </w:r>
    </w:p>
    <w:p>
      <w:pPr>
        <w:spacing w:before="80" w:after="80"/>
      </w:pPr>
    </w:p>
    <w:p>
      <w:pPr>
        <w:spacing w:before="60" w:after="80"/>
      </w:pPr>
      <w:r>
        <w:rPr>
          <w:rFonts w:ascii="Arial" w:cs="Arial" w:eastAsia="Arial" w:hAnsi="Arial"/>
          <w:sz w:val="22"/>
          <w:szCs w:val="22"/>
        </w:rPr>
        <w:t xml:space="preserve">The generation followed this strict sequence: lms_users was generated first as the root anchor table. lms_courses was generated next as the content reference. lms_modules was generated third, with course_id values manually copied from the courses file into a Mockaroo Custom List field to ensure every module referenced a real course. lms_lesson_activity and lms_quiz_attempts were generated last, with both user_id and module_id values copied in the same way.</w:t>
      </w:r>
    </w:p>
    <w:p>
      <w:pPr>
        <w:spacing w:before="80" w:after="80"/>
      </w:pPr>
    </w:p>
    <w:p>
      <w:pPr>
        <w:spacing w:before="60" w:after="80"/>
      </w:pPr>
      <w:r>
        <w:rPr>
          <w:rFonts w:ascii="Arial" w:cs="Arial" w:eastAsia="Arial" w:hAnsi="Arial"/>
          <w:sz w:val="22"/>
          <w:szCs w:val="22"/>
        </w:rPr>
        <w:t xml:space="preserve">After download, ID prefixes were applied using Excel formulas — ACT001 through ACT150 for activities and QZ001 through QZ120 for quiz attempts — to produce the clean, prefixed identifiers that make the data readable and identifiable at a glance.</w:t>
      </w:r>
    </w:p>
    <w:p>
      <w:pPr>
        <w:spacing w:before="80" w:after="80"/>
      </w:pPr>
    </w:p>
    <w:p>
      <w:pPr>
        <w:pStyle w:val="Heading2"/>
        <w:spacing w:before="280" w:after="80"/>
      </w:pPr>
      <w:r>
        <w:rPr>
          <w:rFonts w:ascii="Arial" w:cs="Arial" w:eastAsia="Arial" w:hAnsi="Arial"/>
          <w:b/>
          <w:bCs/>
          <w:color w:val="C4622D"/>
          <w:sz w:val="26"/>
          <w:szCs w:val="26"/>
        </w:rPr>
        <w:t xml:space="preserve">Admin Exclusion</w:t>
      </w:r>
    </w:p>
    <w:p>
      <w:pPr>
        <w:spacing w:before="60" w:after="80"/>
      </w:pPr>
      <w:r>
        <w:rPr>
          <w:rFonts w:ascii="Arial" w:cs="Arial" w:eastAsia="Arial" w:hAnsi="Arial"/>
          <w:sz w:val="22"/>
          <w:szCs w:val="22"/>
        </w:rPr>
        <w:t xml:space="preserve">During the Silver layer cleaning process, 11 of the 50 users were identified as admin accounts based on their role field. These users — U002, U010, U027, U028, U032, U037, U039, U040, U044, U048, and U050 — were excluded from all analytics. Their 39 activity records and 24 quiz attempts were removed from every KPI calculation. This exclusion reduced the active dataset to 39 learners, 111 activity records, and 96 quiz attempts — numbers that accurately reflect real learner behaviour on the platform.</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5. Ad Hoc Analysis — Answering Unplanned Business Questions</w:t>
      </w:r>
    </w:p>
    <w:p>
      <w:pPr>
        <w:spacing w:before="60" w:after="80"/>
      </w:pPr>
      <w:r>
        <w:rPr>
          <w:rFonts w:ascii="Arial" w:cs="Arial" w:eastAsia="Arial" w:hAnsi="Arial"/>
          <w:sz w:val="22"/>
          <w:szCs w:val="22"/>
        </w:rPr>
        <w:t xml:space="preserve">Before building the dashboards, the team conducted ad hoc analysis — a practice of answering specific, one-off questions that arise from stakeholder curiosity or from patterns noticed during data exploration. Ad hoc analysis is distinct from dashboard reporting because it is not planned in advance. A stakeholder sees a number and asks why. A pattern emerges in the data and someone asks what is causing it. The analyst goes directly to the data and finds an answer.</w:t>
      </w:r>
    </w:p>
    <w:p>
      <w:pPr>
        <w:spacing w:before="80" w:after="80"/>
      </w:pPr>
    </w:p>
    <w:p>
      <w:pPr>
        <w:spacing w:before="60" w:after="80"/>
      </w:pPr>
      <w:r>
        <w:rPr>
          <w:rFonts w:ascii="Arial" w:cs="Arial" w:eastAsia="Arial" w:hAnsi="Arial"/>
          <w:sz w:val="22"/>
          <w:szCs w:val="22"/>
        </w:rPr>
        <w:t xml:space="preserve">The ad hoc dashboard for this project was built in Luca Studio and contains four visualizations, each grounded in a distinct business question.</w:t>
      </w:r>
    </w:p>
    <w:p>
      <w:pPr>
        <w:spacing w:before="80" w:after="80"/>
      </w:pPr>
    </w:p>
    <w:p>
      <w:pPr>
        <w:pStyle w:val="Heading2"/>
        <w:spacing w:before="280" w:after="80"/>
      </w:pPr>
      <w:r>
        <w:rPr>
          <w:rFonts w:ascii="Arial" w:cs="Arial" w:eastAsia="Arial" w:hAnsi="Arial"/>
          <w:b/>
          <w:bCs/>
          <w:color w:val="C4622D"/>
          <w:sz w:val="26"/>
          <w:szCs w:val="26"/>
        </w:rPr>
        <w:t xml:space="preserve">Monthly Active Users Trend</w:t>
      </w:r>
    </w:p>
    <w:p>
      <w:pPr>
        <w:spacing w:before="60" w:after="80"/>
      </w:pPr>
      <w:r>
        <w:rPr>
          <w:rFonts w:ascii="Arial" w:cs="Arial" w:eastAsia="Arial" w:hAnsi="Arial"/>
          <w:sz w:val="22"/>
          <w:szCs w:val="22"/>
        </w:rPr>
        <w:t xml:space="preserve">The first question the team asked was whether the platform was gaining momentum or whether user interest was fading. The monthly active users line chart answered this by plotting unique user counts across February 2026. The chart revealed natural fluctuation in engagement, with a peak around February 9th followed by a dip and recovery. The ad hoc follow-up questions went deeper: what was the percentage growth in unique users between the first and last week of the month, and could any spikes be correlated with specific events or initiatives?</w:t>
      </w:r>
    </w:p>
    <w:p>
      <w:pPr>
        <w:spacing w:before="80" w:after="80"/>
      </w:pPr>
    </w:p>
    <w:p>
      <w:pPr>
        <w:pStyle w:val="Heading2"/>
        <w:spacing w:before="280" w:after="80"/>
      </w:pPr>
      <w:r>
        <w:rPr>
          <w:rFonts w:ascii="Arial" w:cs="Arial" w:eastAsia="Arial" w:hAnsi="Arial"/>
          <w:b/>
          <w:bCs/>
          <w:color w:val="C4622D"/>
          <w:sz w:val="26"/>
          <w:szCs w:val="26"/>
        </w:rPr>
        <w:t xml:space="preserve">Module Completion Funnel</w:t>
      </w:r>
    </w:p>
    <w:p>
      <w:pPr>
        <w:spacing w:before="60" w:after="80"/>
      </w:pPr>
      <w:r>
        <w:rPr>
          <w:rFonts w:ascii="Arial" w:cs="Arial" w:eastAsia="Arial" w:hAnsi="Arial"/>
          <w:sz w:val="22"/>
          <w:szCs w:val="22"/>
        </w:rPr>
        <w:t xml:space="preserve">The second question focused on friction in the learning journey — at what point do users disengage and stop progressing? The module completion funnel bar chart showed the breakdown of started, in-progress and completed statuses for each module. This revealed that the drop-off was not concentrated in one place. Self Care had three started events that never progressed. Safe Referral similarly had three starts with no progression, suggesting the content around referring someone to professional support may feel intimidating or emotionally heavy for users who are just beginning to develop allyship skills.</w:t>
      </w:r>
    </w:p>
    <w:p>
      <w:pPr>
        <w:spacing w:before="80" w:after="80"/>
      </w:pPr>
    </w:p>
    <w:p>
      <w:pPr>
        <w:pStyle w:val="Heading2"/>
        <w:spacing w:before="280" w:after="80"/>
      </w:pPr>
      <w:r>
        <w:rPr>
          <w:rFonts w:ascii="Arial" w:cs="Arial" w:eastAsia="Arial" w:hAnsi="Arial"/>
          <w:b/>
          <w:bCs/>
          <w:color w:val="C4622D"/>
          <w:sz w:val="26"/>
          <w:szCs w:val="26"/>
        </w:rPr>
        <w:t xml:space="preserve">Impact by Department</w:t>
      </w:r>
    </w:p>
    <w:p>
      <w:pPr>
        <w:spacing w:before="60" w:after="80"/>
      </w:pPr>
      <w:r>
        <w:rPr>
          <w:rFonts w:ascii="Arial" w:cs="Arial" w:eastAsia="Arial" w:hAnsi="Arial"/>
          <w:sz w:val="22"/>
          <w:szCs w:val="22"/>
        </w:rPr>
        <w:t xml:space="preserve">The third question asked which departments were leading in allyship culture and which needed more support. The ranked table produced a clear hierarchy: Education scored highest at 68.62, followed by Management at 66.45, Legal at 63.72, Community at 56.49 and HR at 53.47. The ad hoc investigation went further, asking whether high participation volume correlated with high quiz score quality within specific departments — a critical question for understanding whether engagement was driving genuine learning or just activity.</w:t>
      </w:r>
    </w:p>
    <w:p>
      <w:pPr>
        <w:spacing w:before="80" w:after="80"/>
      </w:pPr>
    </w:p>
    <w:p>
      <w:pPr>
        <w:pStyle w:val="Heading2"/>
        <w:spacing w:before="280" w:after="80"/>
      </w:pPr>
      <w:r>
        <w:rPr>
          <w:rFonts w:ascii="Arial" w:cs="Arial" w:eastAsia="Arial" w:hAnsi="Arial"/>
          <w:b/>
          <w:bCs/>
          <w:color w:val="C4622D"/>
          <w:sz w:val="26"/>
          <w:szCs w:val="26"/>
        </w:rPr>
        <w:t xml:space="preserve">Score Distribution and Mastery Analysis</w:t>
      </w:r>
    </w:p>
    <w:p>
      <w:pPr>
        <w:spacing w:before="60" w:after="80"/>
      </w:pPr>
      <w:r>
        <w:rPr>
          <w:rFonts w:ascii="Arial" w:cs="Arial" w:eastAsia="Arial" w:hAnsi="Arial"/>
          <w:sz w:val="22"/>
          <w:szCs w:val="22"/>
        </w:rPr>
        <w:t xml:space="preserve">The fourth and most analytically rich question asked whether users were genuinely mastering the content or simply clicking through to satisfy a completion requirement. The scatter plot of scores by status addressed this directly by plotting quiz scores against activity status. The analysis looked for clusters of high-progress, low-score users — learners who had gone far through the modules but had not absorbed the knowledge — as these users represent the highest intervention priority. The data also tested whether time spent on modules, proxied by progress percentage, consistently predicted higher certification scores.</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6. Analytical Dashboards</w:t>
      </w:r>
    </w:p>
    <w:p>
      <w:pPr>
        <w:spacing w:before="60" w:after="80"/>
      </w:pPr>
      <w:r>
        <w:rPr>
          <w:rFonts w:ascii="Arial" w:cs="Arial" w:eastAsia="Arial" w:hAnsi="Arial"/>
          <w:sz w:val="22"/>
          <w:szCs w:val="22"/>
        </w:rPr>
        <w:t xml:space="preserve">Two production dashboards were built to translate the warehouse data into visual insights for stakeholders. Both dashboards were developed in two stages — an initial version in Power BI for rapid prototyping, followed by a final production version built as standalone HTML files color matched to the official Lumera platform prototype. The HTML versions require no software installation and can be opened in any web browser, making them accessible to all stakeholders regardless of technical setup.</w:t>
      </w:r>
    </w:p>
    <w:p>
      <w:pPr>
        <w:spacing w:before="80" w:after="80"/>
      </w:pPr>
    </w:p>
    <w:p>
      <w:pPr>
        <w:spacing w:before="60" w:after="80"/>
      </w:pPr>
      <w:r>
        <w:rPr>
          <w:rFonts w:ascii="Arial" w:cs="Arial" w:eastAsia="Arial" w:hAnsi="Arial"/>
          <w:sz w:val="22"/>
          <w:szCs w:val="22"/>
        </w:rPr>
        <w:t xml:space="preserve">Both dashboards use the official Lumera color palette: warm cream (#F5F0E8) for the background, deep teal (#1C3333) for headings and dark elements, terracotta orange (#C4622D) for KPI values and highlights, and sage green (#7A9E87) for secondary charts and in-progress indicators. All metrics exclude admin accounts.</w:t>
      </w:r>
    </w:p>
    <w:p>
      <w:pPr>
        <w:spacing w:before="80" w:after="80"/>
      </w:pPr>
    </w:p>
    <w:p>
      <w:pPr>
        <w:pStyle w:val="Heading2"/>
        <w:spacing w:before="280" w:after="80"/>
      </w:pPr>
      <w:r>
        <w:rPr>
          <w:rFonts w:ascii="Arial" w:cs="Arial" w:eastAsia="Arial" w:hAnsi="Arial"/>
          <w:b/>
          <w:bCs/>
          <w:color w:val="C4622D"/>
          <w:sz w:val="26"/>
          <w:szCs w:val="26"/>
        </w:rPr>
        <w:t xml:space="preserve">Dashboard 1 — Platform Analytics</w:t>
      </w:r>
    </w:p>
    <w:p>
      <w:pPr>
        <w:spacing w:before="60" w:after="80"/>
      </w:pPr>
      <w:r>
        <w:rPr>
          <w:rFonts w:ascii="Arial" w:cs="Arial" w:eastAsia="Arial" w:hAnsi="Arial"/>
          <w:sz w:val="22"/>
          <w:szCs w:val="22"/>
        </w:rPr>
        <w:t xml:space="preserve">The Platform Analytics Dashboard answers five core questions about learning effectiveness and engagement. Its five KPIs give an immediate snapshot: 39 learners are active on the platform, generating 111 activity records. Of those, 41 have been completed, giving a 37% completion rate. The average quiz score across all learner attempts is 62.9 out of 100, and the average module progress is 51.8%.</w:t>
      </w:r>
    </w:p>
    <w:p>
      <w:pPr>
        <w:spacing w:before="80" w:after="80"/>
      </w:pPr>
    </w:p>
    <w:p>
      <w:pPr>
        <w:spacing w:before="60" w:after="80"/>
      </w:pPr>
      <w:r>
        <w:rPr>
          <w:rFonts w:ascii="Arial" w:cs="Arial" w:eastAsia="Arial" w:hAnsi="Arial"/>
          <w:sz w:val="22"/>
          <w:szCs w:val="22"/>
        </w:rPr>
        <w:t xml:space="preserve">One of the most actionable findings from this dashboard is the content format analysis. Text-based modules produce higher quiz scores on average than video modules — 65.96 compared to 61.25 — a difference of 4.7 points despite video modules receiving nearly twice as many quiz attempts. This suggests that the text format, which requires more active reading and processing, may be producing deeper learning than passive video consumption. The recommendation is to review whether high-performing video content can be supplemented with text summaries or active recall exercises.</w:t>
      </w:r>
    </w:p>
    <w:p>
      <w:pPr>
        <w:spacing w:before="80" w:after="80"/>
      </w:pPr>
    </w:p>
    <w:p>
      <w:pPr>
        <w:spacing w:before="60" w:after="80"/>
      </w:pPr>
      <w:r>
        <w:rPr>
          <w:rFonts w:ascii="Arial" w:cs="Arial" w:eastAsia="Arial" w:hAnsi="Arial"/>
          <w:sz w:val="22"/>
          <w:szCs w:val="22"/>
        </w:rPr>
        <w:t xml:space="preserve">The module performance table reveals further nuance. Responding to Disclosure Calmly leads all modules with an average score of 82.0, while Asking the Right Questions sits at the bottom with 45.9 — a 36 point gap that signals a content quality issue in that module rather than a learner engagement problem. Emotional Support Without Overstepping has the highest completion count at 5, suggesting it is the most engaging module in terms of users following through to the end.</w:t>
      </w:r>
    </w:p>
    <w:p>
      <w:pPr>
        <w:spacing w:before="80" w:after="80"/>
      </w:pPr>
    </w:p>
    <w:p>
      <w:pPr>
        <w:pStyle w:val="Heading2"/>
        <w:spacing w:before="280" w:after="80"/>
      </w:pPr>
      <w:r>
        <w:rPr>
          <w:rFonts w:ascii="Arial" w:cs="Arial" w:eastAsia="Arial" w:hAnsi="Arial"/>
          <w:b/>
          <w:bCs/>
          <w:color w:val="C4622D"/>
          <w:sz w:val="26"/>
          <w:szCs w:val="26"/>
        </w:rPr>
        <w:t xml:space="preserve">Dashboard 2 — Retention and Impact</w:t>
      </w:r>
    </w:p>
    <w:p>
      <w:pPr>
        <w:spacing w:before="60" w:after="80"/>
      </w:pPr>
      <w:r>
        <w:rPr>
          <w:rFonts w:ascii="Arial" w:cs="Arial" w:eastAsia="Arial" w:hAnsi="Arial"/>
          <w:sz w:val="22"/>
          <w:szCs w:val="22"/>
        </w:rPr>
        <w:t xml:space="preserve">The Retention and Impact Dashboard answers four questions about whether users are coming back, who is creating the most value, what predicts success, and where the platform is losing people. Its headline finding is a 79% return rate — 31 of the 39 learners came back for more than one session, with an average of 3.2 sessions per learner. For a platform that has not yet officially launched, this is a strong early retention signal.</w:t>
      </w:r>
    </w:p>
    <w:p>
      <w:pPr>
        <w:spacing w:before="80" w:after="80"/>
      </w:pPr>
    </w:p>
    <w:p>
      <w:pPr>
        <w:spacing w:before="60" w:after="80"/>
      </w:pPr>
      <w:r>
        <w:rPr>
          <w:rFonts w:ascii="Arial" w:cs="Arial" w:eastAsia="Arial" w:hAnsi="Arial"/>
          <w:sz w:val="22"/>
          <w:szCs w:val="22"/>
        </w:rPr>
        <w:t xml:space="preserve">The learner funnel tells the complete journey: 39 registered, 35 were active at least once, 31 returned for multiple sessions, and 27 completed at least one module. The 18 drop-off events — where a user started an activity but never progressed — represent a 16% drop-off rate that the platform team can actively work to reduce through nudges, reminders, or content simplification.</w:t>
      </w:r>
    </w:p>
    <w:p>
      <w:pPr>
        <w:spacing w:before="80" w:after="80"/>
      </w:pPr>
    </w:p>
    <w:p>
      <w:pPr>
        <w:spacing w:before="60" w:after="80"/>
      </w:pPr>
      <w:r>
        <w:rPr>
          <w:rFonts w:ascii="Arial" w:cs="Arial" w:eastAsia="Arial" w:hAnsi="Arial"/>
          <w:sz w:val="22"/>
          <w:szCs w:val="22"/>
        </w:rPr>
        <w:t xml:space="preserve">The most compelling insight from this dashboard is the behaviour-to-outcome relationship. Learners who engage four or more times score an average of 8.4 points higher than those who engage fewer times. This is not a correlation that requires complex modelling to act on — it directly suggests that any intervention which brings a learner back for a fourth session is likely to meaningfully improve their learning outcomes.</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7. Machine Learning — Behavioural Prediction Pipeline</w:t>
      </w:r>
    </w:p>
    <w:p>
      <w:pPr>
        <w:spacing w:before="60" w:after="80"/>
      </w:pPr>
      <w:r>
        <w:rPr>
          <w:rFonts w:ascii="Arial" w:cs="Arial" w:eastAsia="Arial" w:hAnsi="Arial"/>
          <w:sz w:val="22"/>
          <w:szCs w:val="22"/>
        </w:rPr>
        <w:t xml:space="preserve">The machine learning phase moves the analytics from descriptive to predictive. Rather than reporting what has happened, the ML pipeline asks what will happen — and more importantly, who is at risk of disengaging before they complete their learning journey. The pipeline was designed with a clear philosophy: small datasets, interpretable models, and actionable outputs. This is not a black-box system that produces predictions no one can explain. Every prediction comes with coefficients that a non-technical stakeholder can understand.</w:t>
      </w:r>
    </w:p>
    <w:p>
      <w:pPr>
        <w:spacing w:before="80" w:after="80"/>
      </w:pPr>
    </w:p>
    <w:p>
      <w:pPr>
        <w:pStyle w:val="Heading2"/>
        <w:spacing w:before="280" w:after="80"/>
      </w:pPr>
      <w:r>
        <w:rPr>
          <w:rFonts w:ascii="Arial" w:cs="Arial" w:eastAsia="Arial" w:hAnsi="Arial"/>
          <w:b/>
          <w:bCs/>
          <w:color w:val="C4622D"/>
          <w:sz w:val="26"/>
          <w:szCs w:val="26"/>
        </w:rPr>
        <w:t xml:space="preserve">Exploratory Data Analysis</w:t>
      </w:r>
    </w:p>
    <w:p>
      <w:pPr>
        <w:spacing w:before="60" w:after="80"/>
      </w:pPr>
      <w:r>
        <w:rPr>
          <w:rFonts w:ascii="Arial" w:cs="Arial" w:eastAsia="Arial" w:hAnsi="Arial"/>
          <w:sz w:val="22"/>
          <w:szCs w:val="22"/>
        </w:rPr>
        <w:t xml:space="preserve">Before any modelling began, the team conducted thorough exploratory data analysis to understand the shape and character of the learner behaviour data. This involved loading all five tables, converting timestamps to ordered date formats, and analysing the distributions of lesson progress, module completion patterns, quiz score trends, and user engagement frequency. The EDA revealed the project's central challenge: many learners show partial progress without completion, indicating potential disengagement before they finish modules. This finding directly motivated the design of the machine learning target variable.</w:t>
      </w:r>
    </w:p>
    <w:p>
      <w:pPr>
        <w:spacing w:before="80" w:after="80"/>
      </w:pPr>
    </w:p>
    <w:p>
      <w:pPr>
        <w:pStyle w:val="Heading2"/>
        <w:spacing w:before="280" w:after="80"/>
      </w:pPr>
      <w:r>
        <w:rPr>
          <w:rFonts w:ascii="Arial" w:cs="Arial" w:eastAsia="Arial" w:hAnsi="Arial"/>
          <w:b/>
          <w:bCs/>
          <w:color w:val="C4622D"/>
          <w:sz w:val="26"/>
          <w:szCs w:val="26"/>
        </w:rPr>
        <w:t xml:space="preserve">Weekly Feature Engineering</w:t>
      </w:r>
    </w:p>
    <w:p>
      <w:pPr>
        <w:spacing w:before="60" w:after="80"/>
      </w:pPr>
      <w:r>
        <w:rPr>
          <w:rFonts w:ascii="Arial" w:cs="Arial" w:eastAsia="Arial" w:hAnsi="Arial"/>
          <w:sz w:val="22"/>
          <w:szCs w:val="22"/>
        </w:rPr>
        <w:t xml:space="preserve">Raw LMS data is event-based and noisy. A learner might complete three modules on one day and nothing for a week. If each event is treated as an independent data point, the model sees chaos rather than patterns. The solution was weekly aggregation — collapsing each learner's activity into weekly behavioral snapshots that reflect natural learning cycles and reduce the noise inherent in daily event logs.</w:t>
      </w:r>
    </w:p>
    <w:p>
      <w:pPr>
        <w:spacing w:before="80" w:after="80"/>
      </w:pPr>
    </w:p>
    <w:p>
      <w:pPr>
        <w:spacing w:before="60" w:after="80"/>
      </w:pPr>
      <w:r>
        <w:rPr>
          <w:rFonts w:ascii="Arial" w:cs="Arial" w:eastAsia="Arial" w:hAnsi="Arial"/>
          <w:sz w:val="22"/>
          <w:szCs w:val="22"/>
        </w:rPr>
        <w:t xml:space="preserve">Each weekly snapshot captures six behavioral features: the number of activity events in that week (sessions), the number of modules completed, the average lesson progress percentage, the average quiz score, the number of unique active days, and the number of days without any activity (inactivity days). Together these features paint a behavioural portrait of each learner for each week of their engagement with the platform.</w:t>
      </w:r>
    </w:p>
    <w:p>
      <w:pPr>
        <w:spacing w:before="80" w:after="80"/>
      </w:pPr>
    </w:p>
    <w:p>
      <w:pPr>
        <w:spacing w:before="60" w:after="80"/>
      </w:pPr>
      <w:r>
        <w:rPr>
          <w:rFonts w:ascii="Arial" w:cs="Arial" w:eastAsia="Arial" w:hAnsi="Arial"/>
          <w:sz w:val="22"/>
          <w:szCs w:val="22"/>
        </w:rPr>
        <w:t xml:space="preserve">The team also engineered a confidence score — a behavioral proxy that avoids the subjectivity of self-reported surveys by calculating confidence entirely from observable platform behaviour. It combines progress consistency, completion signals, and quiz performance into a single normalized score that tracks how confidently a learner is moving through the material. This score is saved in the weekly_behavioral_features.csv output file, which serves as the single source of truth for the machine learning model, the website analytics, and the KPI reporting layer.</w:t>
      </w:r>
    </w:p>
    <w:p>
      <w:pPr>
        <w:spacing w:before="80" w:after="80"/>
      </w:pPr>
    </w:p>
    <w:p>
      <w:pPr>
        <w:pStyle w:val="Heading2"/>
        <w:spacing w:before="280" w:after="80"/>
      </w:pPr>
      <w:r>
        <w:rPr>
          <w:rFonts w:ascii="Arial" w:cs="Arial" w:eastAsia="Arial" w:hAnsi="Arial"/>
          <w:b/>
          <w:bCs/>
          <w:color w:val="C4622D"/>
          <w:sz w:val="26"/>
          <w:szCs w:val="26"/>
        </w:rPr>
        <w:t xml:space="preserve">The Prediction Model</w:t>
      </w:r>
    </w:p>
    <w:p>
      <w:pPr>
        <w:spacing w:before="60" w:after="80"/>
      </w:pPr>
      <w:r>
        <w:rPr>
          <w:rFonts w:ascii="Arial" w:cs="Arial" w:eastAsia="Arial" w:hAnsi="Arial"/>
          <w:sz w:val="22"/>
          <w:szCs w:val="22"/>
        </w:rPr>
        <w:t xml:space="preserve">The team chose Logistic Regression as the primary model. This choice was deliberate and grounded in the project's guiding philosophy. Logistic regression is fully interpretable — its coefficients tell you exactly how much each feature contributes to the prediction. It works reliably with small datasets without overfitting in the way that more complex models like random forests or neural networks can. And it outputs probabilities rather than hard binary labels, giving stakeholders a nuanced signal — a learner is 73% likely to disengage — rather than a blunt classification.</w:t>
      </w:r>
    </w:p>
    <w:p>
      <w:pPr>
        <w:spacing w:before="80" w:after="80"/>
      </w:pPr>
    </w:p>
    <w:p>
      <w:pPr>
        <w:spacing w:before="60" w:after="80"/>
      </w:pPr>
      <w:r>
        <w:rPr>
          <w:rFonts w:ascii="Arial" w:cs="Arial" w:eastAsia="Arial" w:hAnsi="Arial"/>
          <w:sz w:val="22"/>
          <w:szCs w:val="22"/>
        </w:rPr>
        <w:t xml:space="preserve">The target variable is a binary outcome representing learner success or risk, derived from the combination of engagement and completion behaviour. The model uses weekly engagement metrics, average progress, quiz performance, the confidence score, and inactivity indicators as its input features. The output is a probability of learner success or risk for each weekly snapshot, with clear decision boundaries that enable early intervention before a learner fully disengages.</w:t>
      </w:r>
    </w:p>
    <w:p>
      <w:pPr>
        <w:spacing w:before="80" w:after="80"/>
      </w:pPr>
    </w:p>
    <w:p>
      <w:pPr>
        <w:pStyle w:val="Heading2"/>
        <w:spacing w:before="280" w:after="80"/>
      </w:pPr>
      <w:r>
        <w:rPr>
          <w:rFonts w:ascii="Arial" w:cs="Arial" w:eastAsia="Arial" w:hAnsi="Arial"/>
          <w:b/>
          <w:bCs/>
          <w:color w:val="C4622D"/>
          <w:sz w:val="26"/>
          <w:szCs w:val="26"/>
        </w:rPr>
        <w:t xml:space="preserve">Integration with the Platform</w:t>
      </w:r>
    </w:p>
    <w:p>
      <w:pPr>
        <w:spacing w:before="60" w:after="80"/>
      </w:pPr>
      <w:r>
        <w:rPr>
          <w:rFonts w:ascii="Arial" w:cs="Arial" w:eastAsia="Arial" w:hAnsi="Arial"/>
          <w:sz w:val="22"/>
          <w:szCs w:val="22"/>
        </w:rPr>
        <w:t xml:space="preserve">The machine learning outputs are not kept in a data science notebook. They feed directly into the Lumera learning analytics website, enabling four real-time capabilities: weekly active learner counts that show the platform team how many users are currently engaged, engagement trend visualisations that surface rising and falling participation, confidence growth tracking that shows whether the platform is achieving its primary goal of building allyship confidence, and early identification of at-risk learners so that targeted support can be offered before disengagement becomes permanent.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624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Primary programming language for all ML and feature engineering</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Pandas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Data loading, cleaning, weekly aggregation and feature construction</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NumPy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Numerical operations and array processing</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Scikit-learn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Logistic Regression model training, evaluation and probability outputs</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Google Colab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Cloud-based notebook environment for collaborative development</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Version control and collaboration across all team members</w:t>
            </w:r>
          </w:p>
        </w:tc>
      </w:tr>
    </w:tbl>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8. Key Findings Across All Phases</w:t>
      </w:r>
    </w:p>
    <w:p>
      <w:pPr>
        <w:spacing w:before="60" w:after="80"/>
      </w:pPr>
      <w:r>
        <w:rPr>
          <w:rFonts w:ascii="Arial" w:cs="Arial" w:eastAsia="Arial" w:hAnsi="Arial"/>
          <w:sz w:val="22"/>
          <w:szCs w:val="22"/>
        </w:rPr>
        <w:t xml:space="preserve">Taken together, the four phases of this project tell a coherent story about learner behaviour on the Lumera platform and what the data science team can do to improve outcomes.</w:t>
      </w:r>
    </w:p>
    <w:p>
      <w:pPr>
        <w:spacing w:before="80" w:after="80"/>
      </w:pPr>
    </w:p>
    <w:p>
      <w:pPr>
        <w:pStyle w:val="Heading2"/>
        <w:spacing w:before="280" w:after="80"/>
      </w:pPr>
      <w:r>
        <w:rPr>
          <w:rFonts w:ascii="Arial" w:cs="Arial" w:eastAsia="Arial" w:hAnsi="Arial"/>
          <w:b/>
          <w:bCs/>
          <w:color w:val="C4622D"/>
          <w:sz w:val="26"/>
          <w:szCs w:val="26"/>
        </w:rPr>
        <w:t xml:space="preserve">On Learning Effectiveness</w:t>
      </w:r>
    </w:p>
    <w:p>
      <w:pPr>
        <w:spacing w:before="60" w:after="80"/>
      </w:pPr>
      <w:r>
        <w:rPr>
          <w:rFonts w:ascii="Arial" w:cs="Arial" w:eastAsia="Arial" w:hAnsi="Arial"/>
          <w:sz w:val="22"/>
          <w:szCs w:val="22"/>
        </w:rPr>
        <w:t xml:space="preserve">Text-based modules consistently outperform video modules by nearly 5 points on average. The Responding to Disclosure Calmly module is the platform's strongest content piece, scoring 82.0 on average, while Asking the Right Questions at 45.9 represents a significant content quality gap that should be addressed before the platform launches at scale. Emotional Support Without Overstepping is the most engaging module by completion count, suggesting that content which validates the emotional weight of allyship resonates more strongly with learners than purely instructional content.</w:t>
      </w:r>
    </w:p>
    <w:p>
      <w:pPr>
        <w:spacing w:before="80" w:after="80"/>
      </w:pPr>
    </w:p>
    <w:p>
      <w:pPr>
        <w:pStyle w:val="Heading2"/>
        <w:spacing w:before="280" w:after="80"/>
      </w:pPr>
      <w:r>
        <w:rPr>
          <w:rFonts w:ascii="Arial" w:cs="Arial" w:eastAsia="Arial" w:hAnsi="Arial"/>
          <w:b/>
          <w:bCs/>
          <w:color w:val="C4622D"/>
          <w:sz w:val="26"/>
          <w:szCs w:val="26"/>
        </w:rPr>
        <w:t xml:space="preserve">On Engagement and Retention</w:t>
      </w:r>
    </w:p>
    <w:p>
      <w:pPr>
        <w:spacing w:before="60" w:after="80"/>
      </w:pPr>
      <w:r>
        <w:rPr>
          <w:rFonts w:ascii="Arial" w:cs="Arial" w:eastAsia="Arial" w:hAnsi="Arial"/>
          <w:sz w:val="22"/>
          <w:szCs w:val="22"/>
        </w:rPr>
        <w:t xml:space="preserve">A 79% return rate for a pre-launch platform is genuinely strong. The 3.2 average sessions per learner shows that once users engage, they come back. The Management department leads engagement with 37 activities, while HR has only 4 — a gap large enough to warrant a targeted outreach strategy for that department. Most importantly, the four-session threshold is a meaningful intervention point: learners who cross it score 8.4 points higher on average, which means any effort to bring a learner back for a fourth session has a measurable positive impact on their learning outcomes.</w:t>
      </w:r>
    </w:p>
    <w:p>
      <w:pPr>
        <w:spacing w:before="80" w:after="80"/>
      </w:pPr>
    </w:p>
    <w:p>
      <w:pPr>
        <w:pStyle w:val="Heading2"/>
        <w:spacing w:before="280" w:after="80"/>
      </w:pPr>
      <w:r>
        <w:rPr>
          <w:rFonts w:ascii="Arial" w:cs="Arial" w:eastAsia="Arial" w:hAnsi="Arial"/>
          <w:b/>
          <w:bCs/>
          <w:color w:val="C4622D"/>
          <w:sz w:val="26"/>
          <w:szCs w:val="26"/>
        </w:rPr>
        <w:t xml:space="preserve">On Risk and Early Intervention</w:t>
      </w:r>
    </w:p>
    <w:p>
      <w:pPr>
        <w:spacing w:before="60" w:after="80"/>
      </w:pPr>
      <w:r>
        <w:rPr>
          <w:rFonts w:ascii="Arial" w:cs="Arial" w:eastAsia="Arial" w:hAnsi="Arial"/>
          <w:sz w:val="22"/>
          <w:szCs w:val="22"/>
        </w:rPr>
        <w:t xml:space="preserve">The machine learning pipeline identifies at-risk learners before they fully disengage, enabling the platform team to intervene at the right moment. The confidence score provides a behavioural proxy for learning confidence that avoids the bias and non-response issues inherent in self-reported surveys. The combination of inactivity days and declining progress percentage is the strongest early warning signal — a learner who was active and is no longer active is the primary intervention target.</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9.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4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7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Mockaroo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Synthetic data generation for all five LMS tables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SQL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Data warehouse hosting Bronze, Silver and Gold layers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dbdiagram.io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Visual ER diagram design for the Bronze layer schema</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Microsoft Excel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Post-processing ID prefixes and data verification</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Luca Studio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Ad hoc analysis dashboard with four business question visualizations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Power BI Desktop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Initial dashboard development and prototyping</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HTML / CSS / 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Final production dashboards as standalone browser files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Feature engineering, EDA and machine learning modelling</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Pandas / NumPy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Data manipulation, weekly aggregation and numerical processing</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Scikit-learn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Logistic Regression model and probability prediction</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Google Colab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Collaborative cloud notebook environment</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All phases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Version control, collaboration and project repository</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center"/>
          </w:tcPr>
          <w:p>
            <w:r>
              <w:rPr>
                <w:rFonts w:ascii="Arial" w:cs="Arial" w:eastAsia="Arial" w:hAnsi="Arial"/>
                <w:b/>
                <w:bCs/>
                <w:color w:val="C4622D"/>
                <w:sz w:val="20"/>
                <w:szCs w:val="20"/>
              </w:rPr>
              <w:t xml:space="preserve">VS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All phases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Development environment for all file editing and Git operations</w:t>
            </w:r>
          </w:p>
        </w:tc>
      </w:tr>
    </w:tbl>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10. Limitations and Recommendations</w:t>
      </w:r>
    </w:p>
    <w:p>
      <w:pPr>
        <w:pStyle w:val="Heading2"/>
        <w:spacing w:before="280" w:after="80"/>
      </w:pPr>
      <w:r>
        <w:rPr>
          <w:rFonts w:ascii="Arial" w:cs="Arial" w:eastAsia="Arial" w:hAnsi="Arial"/>
          <w:b/>
          <w:bCs/>
          <w:color w:val="C4622D"/>
          <w:sz w:val="26"/>
          <w:szCs w:val="26"/>
        </w:rPr>
        <w:t xml:space="preserve">Current Limitations</w:t>
      </w:r>
    </w:p>
    <w:p>
      <w:pPr>
        <w:spacing w:before="60" w:after="80"/>
      </w:pPr>
      <w:r>
        <w:rPr>
          <w:rFonts w:ascii="Arial" w:cs="Arial" w:eastAsia="Arial" w:hAnsi="Arial"/>
          <w:sz w:val="22"/>
          <w:szCs w:val="22"/>
        </w:rPr>
        <w:t xml:space="preserve">The most significant limitation of this project is that all data is synthetic. The findings reflect simulated patterns rather than real user behaviour, which means they cannot be used to make definitive claims about how real learners will engage with the platform. The warehouse is ready for real data, but the insights from this phase should be treated as directional rather than conclusive until real users begin using the platform.</w:t>
      </w:r>
    </w:p>
    <w:p>
      <w:pPr>
        <w:spacing w:before="80" w:after="80"/>
      </w:pPr>
    </w:p>
    <w:p>
      <w:pPr>
        <w:spacing w:before="60" w:after="80"/>
      </w:pPr>
      <w:r>
        <w:rPr>
          <w:rFonts w:ascii="Arial" w:cs="Arial" w:eastAsia="Arial" w:hAnsi="Arial"/>
          <w:sz w:val="22"/>
          <w:szCs w:val="22"/>
        </w:rPr>
        <w:t xml:space="preserve">The confidence assessment tables — designed to capture pre and post confidence scores through user surveys — were designed in the schema but not populated with data during the capstone timeline. This means the project cannot yet demonstrate confidence growth, which is one of the platform's primary impact metrics and a direct measure of its SDG 5 alignment.</w:t>
      </w:r>
    </w:p>
    <w:p>
      <w:pPr>
        <w:spacing w:before="80" w:after="80"/>
      </w:pPr>
    </w:p>
    <w:p>
      <w:pPr>
        <w:pStyle w:val="Heading2"/>
        <w:spacing w:before="280" w:after="80"/>
      </w:pPr>
      <w:r>
        <w:rPr>
          <w:rFonts w:ascii="Arial" w:cs="Arial" w:eastAsia="Arial" w:hAnsi="Arial"/>
          <w:b/>
          <w:bCs/>
          <w:color w:val="C4622D"/>
          <w:sz w:val="26"/>
          <w:szCs w:val="26"/>
        </w:rPr>
        <w:t xml:space="preserve">Recommendations for Next Steps</w:t>
      </w:r>
    </w:p>
    <w:p>
      <w:pPr>
        <w:pStyle w:val="ListParagraph"/>
        <w:numPr>
          <w:ilvl w:val="0"/>
          <w:numId w:val="2"/>
        </w:numPr>
        <w:spacing w:before="40" w:after="40"/>
      </w:pPr>
      <w:r>
        <w:rPr>
          <w:rFonts w:ascii="Arial" w:cs="Arial" w:eastAsia="Arial" w:hAnsi="Arial"/>
          <w:b w:val="false"/>
          <w:bCs w:val="false"/>
          <w:sz w:val="22"/>
          <w:szCs w:val="22"/>
        </w:rPr>
        <w:t xml:space="preserve">Connect the warehouse to the live platform database the moment real users begin registering, so that all KPIs and dashboards update automatically with genuine learner data</w:t>
      </w:r>
    </w:p>
    <w:p>
      <w:pPr>
        <w:pStyle w:val="ListParagraph"/>
        <w:numPr>
          <w:ilvl w:val="0"/>
          <w:numId w:val="2"/>
        </w:numPr>
        <w:spacing w:before="40" w:after="40"/>
      </w:pPr>
      <w:r>
        <w:rPr>
          <w:rFonts w:ascii="Arial" w:cs="Arial" w:eastAsia="Arial" w:hAnsi="Arial"/>
          <w:b w:val="false"/>
          <w:bCs w:val="false"/>
          <w:sz w:val="22"/>
          <w:szCs w:val="22"/>
        </w:rPr>
        <w:t xml:space="preserve">Prioritize populating the confidence assessment tables through in-platform surveys so that confidence growth can be measured and reported to stakeholders and funding partners</w:t>
      </w:r>
    </w:p>
    <w:p>
      <w:pPr>
        <w:pStyle w:val="ListParagraph"/>
        <w:numPr>
          <w:ilvl w:val="0"/>
          <w:numId w:val="2"/>
        </w:numPr>
        <w:spacing w:before="40" w:after="40"/>
      </w:pPr>
      <w:r>
        <w:rPr>
          <w:rFonts w:ascii="Arial" w:cs="Arial" w:eastAsia="Arial" w:hAnsi="Arial"/>
          <w:b w:val="false"/>
          <w:bCs w:val="false"/>
          <w:sz w:val="22"/>
          <w:szCs w:val="22"/>
        </w:rPr>
        <w:t xml:space="preserve">Revisit the Asking the Right Questions module content — its average score of 45.9 is significantly below the platform average and suggests a content quality issue rather than a learner engagement problem</w:t>
      </w:r>
    </w:p>
    <w:p>
      <w:pPr>
        <w:pStyle w:val="ListParagraph"/>
        <w:numPr>
          <w:ilvl w:val="0"/>
          <w:numId w:val="2"/>
        </w:numPr>
        <w:spacing w:before="40" w:after="40"/>
      </w:pPr>
      <w:r>
        <w:rPr>
          <w:rFonts w:ascii="Arial" w:cs="Arial" w:eastAsia="Arial" w:hAnsi="Arial"/>
          <w:b w:val="false"/>
          <w:bCs w:val="false"/>
          <w:sz w:val="22"/>
          <w:szCs w:val="22"/>
        </w:rPr>
        <w:t xml:space="preserve">Target HR and Community departments with specific outreach initiatives given their significantly lower engagement relative to Management and Education</w:t>
      </w:r>
    </w:p>
    <w:p>
      <w:pPr>
        <w:pStyle w:val="ListParagraph"/>
        <w:numPr>
          <w:ilvl w:val="0"/>
          <w:numId w:val="2"/>
        </w:numPr>
        <w:spacing w:before="40" w:after="40"/>
      </w:pPr>
      <w:r>
        <w:rPr>
          <w:rFonts w:ascii="Arial" w:cs="Arial" w:eastAsia="Arial" w:hAnsi="Arial"/>
          <w:b w:val="false"/>
          <w:bCs w:val="false"/>
          <w:sz w:val="22"/>
          <w:szCs w:val="22"/>
        </w:rPr>
        <w:t xml:space="preserve">Implement a re-engagement trigger for learners who have been inactive for more than 7 days, as inactivity days is one of the strongest predictors of disengagement in the machine learning model</w:t>
      </w:r>
    </w:p>
    <w:p>
      <w:pPr>
        <w:pStyle w:val="ListParagraph"/>
        <w:numPr>
          <w:ilvl w:val="0"/>
          <w:numId w:val="2"/>
        </w:numPr>
        <w:spacing w:before="40" w:after="40"/>
      </w:pPr>
      <w:r>
        <w:rPr>
          <w:rFonts w:ascii="Arial" w:cs="Arial" w:eastAsia="Arial" w:hAnsi="Arial"/>
          <w:b w:val="false"/>
          <w:bCs w:val="false"/>
          <w:sz w:val="22"/>
          <w:szCs w:val="22"/>
        </w:rPr>
        <w:t xml:space="preserve">Retrain the machine learning model on real user data once sufficient records exist — a minimum of 200 to 300 learner records would enable meaningful model validation</w:t>
      </w:r>
    </w:p>
    <w:p>
      <w:pPr>
        <w:pBdr>
          <w:bottom w:val="single" w:color="E8E0D0" w:sz="4" w:space="1"/>
        </w:pBdr>
        <w:spacing w:before="160" w:after="160"/>
      </w:pPr>
    </w:p>
    <w:p>
      <w:pPr>
        <w:pStyle w:val="Heading1"/>
        <w:spacing w:before="400" w:after="120"/>
      </w:pPr>
      <w:r>
        <w:rPr>
          <w:rFonts w:ascii="Arial" w:cs="Arial" w:eastAsia="Arial" w:hAnsi="Arial"/>
          <w:b/>
          <w:bCs/>
          <w:color w:val="1C3333"/>
          <w:sz w:val="34"/>
          <w:szCs w:val="34"/>
        </w:rPr>
        <w:t xml:space="preserve">11. Conclusion</w:t>
      </w:r>
    </w:p>
    <w:p>
      <w:pPr>
        <w:spacing w:before="60" w:after="80"/>
      </w:pPr>
      <w:r>
        <w:rPr>
          <w:rFonts w:ascii="Arial" w:cs="Arial" w:eastAsia="Arial" w:hAnsi="Arial"/>
          <w:sz w:val="22"/>
          <w:szCs w:val="22"/>
        </w:rPr>
        <w:t xml:space="preserve">This project demonstrates that meaningful, end-to-end learning analytics can be built from the ground up — even before a platform has its first real user. By designing the architecture carefully, generating realistic synthetic data, building interpretable analytical layers, and developing a machine learning pipeline grounded in behavioral data, the Lumera Data Science and Engineering team has created a foundation that is genuinely ready for production.</w:t>
      </w:r>
    </w:p>
    <w:p>
      <w:pPr>
        <w:spacing w:before="80" w:after="80"/>
      </w:pPr>
    </w:p>
    <w:p>
      <w:pPr>
        <w:spacing w:before="60" w:after="80"/>
      </w:pPr>
      <w:r>
        <w:rPr>
          <w:rFonts w:ascii="Arial" w:cs="Arial" w:eastAsia="Arial" w:hAnsi="Arial"/>
          <w:sz w:val="22"/>
          <w:szCs w:val="22"/>
        </w:rPr>
        <w:t xml:space="preserve">When the first real learner opens the platform, completes a module, and attempts a quiz, the warehouse will receive that data, clean it, transform it, surface it in the dashboards, and score it through the machine learning model — all without any structural changes to what has been built here. That is the measure of success for this phase of the project.</w:t>
      </w:r>
    </w:p>
    <w:p>
      <w:pPr>
        <w:spacing w:before="80" w:after="80"/>
      </w:pPr>
    </w:p>
    <w:p>
      <w:pPr>
        <w:spacing w:before="60" w:after="80"/>
      </w:pPr>
      <w:r>
        <w:rPr>
          <w:rFonts w:ascii="Arial" w:cs="Arial" w:eastAsia="Arial" w:hAnsi="Arial"/>
          <w:sz w:val="22"/>
          <w:szCs w:val="22"/>
        </w:rPr>
        <w:t xml:space="preserve">The story this data tells — that engagement predicts mastery, that text formats drive deeper learning, that emotional support content retains users best, and that returning for a fourth session is the single most impactful behaviour a learner can exhibit — is a story worth telling to every stakeholder, partner, and funder who wants to know whether Lumera is working. The answer, even with synthetic data, is yes.</w:t>
      </w:r>
    </w:p>
    <w:p>
      <w:pPr>
        <w:spacing w:before="80" w:after="80"/>
      </w:pPr>
    </w:p>
    <w:p>
      <w:pPr>
        <w:spacing w:before="80" w:after="80"/>
      </w:pPr>
    </w:p>
    <w:p>
      <w:pPr>
        <w:spacing w:before="200" w:after="60"/>
        <w:jc w:val="center"/>
      </w:pPr>
      <w:r>
        <w:rPr>
          <w:rFonts w:ascii="Arial" w:cs="Arial" w:eastAsia="Arial" w:hAnsi="Arial"/>
          <w:b/>
          <w:bCs/>
          <w:color w:val="1C3333"/>
          <w:sz w:val="22"/>
          <w:szCs w:val="22"/>
        </w:rPr>
        <w:t xml:space="preserve">Lumera  ·  Team 39  ·  Women Tech Fest 2025</w:t>
      </w:r>
    </w:p>
    <w:p>
      <w:pPr>
        <w:spacing w:before="0" w:after="60"/>
        <w:jc w:val="center"/>
      </w:pPr>
      <w:r>
        <w:rPr>
          <w:rFonts w:ascii="Arial" w:cs="Arial" w:eastAsia="Arial" w:hAnsi="Arial"/>
          <w:color w:val="C4622D"/>
          <w:sz w:val="22"/>
          <w:szCs w:val="22"/>
        </w:rPr>
        <w:t xml:space="preserve">SDG 5 — Gender Equality  ·  Digital Allyship Toolkit</w:t>
      </w:r>
    </w:p>
    <w:p>
      <w:pPr>
        <w:spacing w:before="0" w:after="0"/>
        <w:jc w:val="center"/>
      </w:pPr>
      <w:r>
        <w:rPr>
          <w:rFonts w:ascii="Arial" w:cs="Arial" w:eastAsia="Arial" w:hAnsi="Arial"/>
          <w:color w:val="8A9099"/>
          <w:sz w:val="20"/>
          <w:szCs w:val="20"/>
        </w:rPr>
        <w:t xml:space="preserve">Data Science &amp; Engineering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1"/>
      </w:pBdr>
      <w:spacing w:before="100"/>
      <w:jc w:val="center"/>
    </w:pPr>
    <w:r>
      <w:rPr>
        <w:rFonts w:ascii="Arial" w:cs="Arial" w:eastAsia="Arial" w:hAnsi="Arial"/>
        <w:color w:val="8A9099"/>
        <w:sz w:val="18"/>
        <w:szCs w:val="18"/>
      </w:rPr>
      <w:t xml:space="preserve">Lumera  ·  Team 39  ·  SDG 5 — Gender Equality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6" w:space="1"/>
      </w:pBdr>
      <w:spacing w:after="100"/>
    </w:pPr>
    <w:r>
      <w:rPr>
        <w:rFonts w:ascii="Arial" w:cs="Arial" w:eastAsia="Arial" w:hAnsi="Arial"/>
        <w:b/>
        <w:bCs/>
        <w:color w:val="1C3333"/>
        <w:sz w:val="18"/>
        <w:szCs w:val="18"/>
      </w:rPr>
      <w:t xml:space="preserve">LUMERA  |  End-to-End Analytics Documentation  |  Team 39  |  Women Tech Fest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C3333"/>
      <w:sz w:val="34"/>
      <w:szCs w:val="34"/>
    </w:rPr>
  </w:style>
  <w:style w:type="paragraph" w:styleId="Heading2">
    <w:name w:val="Heading 2"/>
    <w:basedOn w:val="Normal"/>
    <w:next w:val="Normal"/>
    <w:qFormat/>
    <w:pPr>
      <w:spacing w:before="280" w:after="80"/>
      <w:outlineLvl w:val="1"/>
    </w:pPr>
    <w:rPr>
      <w:rFonts w:ascii="Arial" w:cs="Arial" w:eastAsia="Arial" w:hAnsi="Arial"/>
      <w:b/>
      <w:bCs/>
      <w:color w:val="C4622D"/>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2026-02-26T13:32:21.888Z</dcterms:created>
  <dcterms:modified xsi:type="dcterms:W3CDTF">2026-02-26T13:32:21.890Z</dcterms:modified>
</cp:coreProperties>
</file>

<file path=docProps/custom.xml><?xml version="1.0" encoding="utf-8"?>
<Properties xmlns="http://schemas.openxmlformats.org/officeDocument/2006/custom-properties" xmlns:vt="http://schemas.openxmlformats.org/officeDocument/2006/docPropsVTypes"/>
</file>