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6366F1"/>
          <w:sz w:val="72"/>
          <w:szCs w:val="72"/>
        </w:rPr>
        <w:t xml:space="preserve">VidForge</w:t>
      </w:r>
    </w:p>
    <w:p>
      <w:pPr>
        <w:spacing w:after="600"/>
        <w:jc w:val="center"/>
      </w:pPr>
      <w:r>
        <w:rPr>
          <w:rFonts w:ascii="Arial" w:eastAsia="Microsoft YaHei" w:hAnsi="Arial"/>
          <w:color w:val="64748B"/>
          <w:sz w:val="32"/>
          <w:szCs w:val="32"/>
        </w:rPr>
        <w:t xml:space="preserve">电商场景 AIGC 带货视频生成系统</w:t>
      </w:r>
    </w:p>
    <w:p>
      <w:pPr>
        <w:spacing w:after="100"/>
        <w:jc w:val="center"/>
      </w:pPr>
      <w:r>
        <w:rPr>
          <w:rFonts w:ascii="Arial" w:eastAsia="Microsoft YaHei" w:hAnsi="Arial"/>
          <w:color w:val="64748B"/>
          <w:sz w:val="24"/>
          <w:szCs w:val="24"/>
        </w:rPr>
        <w:t xml:space="preserve">项目架构与部署文档</w:t>
      </w:r>
    </w:p>
    <w:p>
      <w:pPr>
        <w:spacing w:after="100"/>
        <w:jc w:val="center"/>
      </w:pPr>
      <w:r>
        <w:rPr>
          <w:rFonts w:ascii="Arial" w:eastAsia="Microsoft YaHei" w:hAnsi="Arial"/>
          <w:color w:val="64748B"/>
          <w:sz w:val="20"/>
          <w:szCs w:val="20"/>
        </w:rPr>
        <w:t xml:space="preserve">版本: v1.0  |  更新日期: 2026-05-24</w:t>
      </w:r>
    </w:p>
    <w:p>
      <w:pPr>
        <w:spacing w:before="2000"/>
        <w:jc w:val="center"/>
      </w:pPr>
      <w:r>
        <w:rPr>
          <w:rFonts w:ascii="Arial" w:eastAsia="Microsoft YaHei" w:hAnsi="Arial"/>
          <w:color w:val="64748B"/>
          <w:sz w:val="18"/>
          <w:szCs w:val="18"/>
        </w:rPr>
        <w:t xml:space="preserve">本文档记录了 VidForge 项目的部署信息、技术架构、模块实现状态及关键配置</w:t>
      </w:r>
    </w:p>
    <w:p>
      <w:pPr>
        <w:sectPr>
          <w:headerReference w:type="default" r:id="rId10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6366F1"/>
          <w:sz w:val="32"/>
          <w:szCs w:val="32"/>
        </w:rPr>
        <w:t xml:space="preserve">一、部署信息总览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1.1 平台地址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000"/>
      </w:tblGrid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服务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地址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GitHub 代码仓库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https://github.com/WANGLEVY9/VidForge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源码托管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Railway 后端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https://vidforge-production-6e07.up.railway.app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NestJS API 服务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Vercel 前端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https://vid-forge-frontend-3qxpfe5an-wanglevy9s-projects.vercel.app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React 静态站点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1.2 后端 API 端点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00"/>
      </w:tblGrid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端点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方法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HealthController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健康检查，返回状态/时间戳/Uptime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GET /api/docs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Swagger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Swagger API 文档界面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GET /api/ai/ark/configs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AiController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获取所有 AI 模型配置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POST /api/ai/ark/chat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AiController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调用文本生成模型（Doubao-Seed-2.0-pro）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POST /api/ai/ark/video/generate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AiController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创建视频生成任务（Doubao-Seedance-1.5-pro）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GET /api/ai/ark/video/task/:taskId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AiController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查询视频生成任务状态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PATCH /api/ai/ark/apikey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AiController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运行时更新 API Key（无需重启）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PATCH /api/ai/ark/switch-primary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AiController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切换主力/备选模型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1.3 前端页面路由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00"/>
      </w:tblGrid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路径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页面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加载方式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/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重定向→ /dashboard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Navigate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工作台（Dashboard）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懒加载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/material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素材库（Material）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懒加载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/script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剧本创作（Script）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懒加载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/creation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视频创作（Creation）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懒加载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1.4 外部服务配置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火山方舟 Ark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配置项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API Base URL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https://ark.cn-beijing.volces.com/api/v3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文本模型（主力）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Doubao-Seed-2.0-pro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文本 Endpoint ID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ep-20260514115629-vhldw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视频模型（主力）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Doubao-Seedance-1.5-pro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视频 Endpoint ID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ep-20260514120705-pqv86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API Key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在 Railway Variables 中配置 (ARK_TEXT_PRIMARY_API_KEY)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认证方式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Bearer Token（OpenAI 兼容协议）</w:t>
            </w:r>
          </w:p>
        </w:tc>
      </w:tr>
    </w:tbl>
    <w:p>
      <w:pPr>
        <w:spacing w:after="0" w:before="12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数据库与缓存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服务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类型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配置方式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关系型数据库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Railway 托管服务，通过 DATABASE_URL 连接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缓存/消息队列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Railway 托管服务，通过 REDIS_URL 连接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BullMQ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任务队列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依赖 Redis，用于视频生成异步任务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1.5 Railway 环境变量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0"/>
          <w:szCs w:val="20"/>
        </w:rPr>
        <w:t xml:space="preserve">以下环境变量需在 Railway 服务的 Variables 面板中配置：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200"/>
      </w:tblGrid>
      <w:tr>
        <w:trPr>
          <w:cantSplit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变量名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用途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是否必填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PostgreSQL 连接字符串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REDIS_URL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Redis 连接字符串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ARK_TEXT_PRIMARY_ENDPOINT_ID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文本模型 Endpoint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ARK_TEXT_PRIMARY_API_KEY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文本模型 API Key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ARK_VIDEO_PRIMARY_ENDPOINT_ID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视频模型 Endpoint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ARK_VIDEO_PRIMARY_API_KEY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视频模型 API Key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JWT_SECRET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JWT 签名密钥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WEB_BASE_URL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前端域名（CORS用）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可选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NODE_ENV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运行环境（production）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可选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PORT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服务端口（默认 8080）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可选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1.6 构建与部署配置文件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文件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位置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nixpacks.toml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项目根目录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Railway 构建配置（Node 20 + 依赖安装 + 构建命令）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railway.json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项目根目录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Railway 部署配置（启动命令、健康检查、监听路径）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vite.config.ts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apps/frontend/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Vite 构建配置（路径别名、代理、输出目录）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nest-cli.json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apps/backend/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NestJS CLI 配置</w:t>
            </w:r>
          </w:p>
        </w:tc>
      </w:tr>
    </w:tbl>
    <w:p>
      <w:pPr>
        <w:spacing w:after="0" w:before="12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6366F1"/>
          <w:sz w:val="32"/>
          <w:szCs w:val="32"/>
        </w:rPr>
        <w:t xml:space="preserve">二、项目技术架构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2.1 整体架构概览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0"/>
          <w:szCs w:val="20"/>
        </w:rPr>
        <w:t xml:space="preserve">VidForge 采用 Monorepo 架构，使用 npm workspaces 管理多个子包。前后端分离部署：后端部署在 Railway，前端部署在 Vercel。</w:t>
      </w:r>
    </w:p>
    <w:p>
      <w:pPr>
        <w:spacing w:after="0" w:before="80"/>
      </w:pP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├── apps/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│   ├── frontend/    React 18 + Vite + Ant Design 5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│   └── backend/     NestJS 10 + TypeORM + PostgreSQL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├── packages/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│   └── common/      共享类型 + 工具函数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├── docs/             项目文档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├── nixpacks.toml     Railway 构建配置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├── railway.json       Railway 部署配置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└── package.json       根配置（workspaces）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2.2 前端技术栈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技术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版本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^18.2.0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UI 框架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^5.3.3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类型安全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Vite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^5.0.8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构建工具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Ant Design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^5.12.0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UI 组件库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React Router DOM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^6.22.0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客户端路由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Axios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^1.6.0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HTTP 请求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ECharts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^5.4.3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数据可视化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Day.js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^1.11.10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日期处理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2.3 后端技术栈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技术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版本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NestJS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^10.0.0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服务端框架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TypeORM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^0.3.17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ORM 数据库操作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PostgreSQL (pg)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^8.11.3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关系型数据库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^4.6.7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缓存/消息队列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BullMQ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^5.0.0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异步任务队列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Swagger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^7.1.0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API 文档自动生成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Passport + JWT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^10.2.0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身份认证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Axios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^1.6.0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调用外部 API（火山方舟）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Multer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^1.4.5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文件上传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Fluent-FFmpeg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^2.1.2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视频处理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2.4 前端目录结构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apps/frontend/src/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├── App.tsx              根组件（路由入口）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├── main.tsx             应用启动入口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├── index.css            全局样式 + Ant Design 主题覆盖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├── layouts/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│   └── BasicLayout.tsx  主布局（侧边栏 + Header + Outlet）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├── routes/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│   └── index.tsx         路由配置（懒加载）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├── pages/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│   ├── dashboard/       工作台页面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│   ├── material/        素材库页面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│   ├── script/          剧本创作页面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│   └── creation/        视频创作页面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├── theme/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│   └── tokens.ts         设计系统 Token（颜色/圆角/间距/字体）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└── utils/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    └── api.ts            Axios 客户端（拦截器 + Token 注入）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2.5 后端目录结构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apps/backend/src/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├── main.ts              应用启动入口（CORS + 前缀 + Swagger）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├── app.module.ts        根模块（Config + TypeORM + AiModule）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└── modules/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    ├── ai/               AI 模块（火山方舟对接）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    │   ├── ai.module.ts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    │   ├── ai.controller.ts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    │   ├── config/ark.config.ts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    │   └── services/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    │       ├── ark-config.service.ts  模型配置管理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    │       ├── ark-text.service.ts     文本生成（Chat Completions）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    │       └── ark-video.service.ts    视频生成（异步任务）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    └── common/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        └── health.controller.ts  健康检查端点</w:t>
      </w:r>
    </w:p>
    <w:p>
      <w:pPr>
        <w:spacing w:after="0" w:before="12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6366F1"/>
          <w:sz w:val="32"/>
          <w:szCs w:val="32"/>
        </w:rPr>
        <w:t xml:space="preserve">三、模块实现详情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3.1 AI 模块（后端核心）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0"/>
          <w:szCs w:val="20"/>
        </w:rPr>
        <w:t xml:space="preserve">AI 模块是后端的核心模块，负责与火山方舟 Ark API 的全部交互。采用主力/备选双模型架构，支持运行时切换和 API Key 更新。</w:t>
      </w:r>
    </w:p>
    <w:p>
      <w:pPr>
        <w:spacing w:after="0" w:before="6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ark.config.ts — 模型配置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0"/>
          <w:szCs w:val="20"/>
        </w:rPr>
        <w:t xml:space="preserve">定义 ArkModelConfig 接口和默认配置。包含 API Base URL、文本/视频生成的 HTTP 路径。从环境变量读取 Endpoint ID 和 API Key。</w:t>
      </w:r>
    </w:p>
    <w:p>
      <w:pPr>
        <w:spacing w:after="0" w:before="6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ark-config.service.ts — 配置管理服务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0"/>
          <w:szCs w:val="20"/>
        </w:rPr>
        <w:t xml:space="preserve">内存模型配置注册表，提供以下能力：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getAllConfigs() — 获取所有模型配置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getPrimaryConfig() — 获取当前主力模型配置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updateApiKey() — 运行时更新 API Key（无需重启服务）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switchPrimary() — 切换主力/备选模型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变更历史记录（最近 50 条）</w:t>
      </w:r>
    </w:p>
    <w:p>
      <w:pPr>
        <w:spacing w:after="0" w:before="6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ark-text.service.ts — 文本生成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0"/>
          <w:szCs w:val="20"/>
        </w:rPr>
        <w:t xml:space="preserve">通过 OpenAI 兼容协议调用 /chat/completions，使用 Endpoint ID 作为 model 参数，Bearer Token 认证。支持自动回退到备选模型。</w:t>
      </w:r>
    </w:p>
    <w:p>
      <w:pPr>
        <w:spacing w:after="0" w:before="6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ark-video.service.ts — 视频生成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0"/>
          <w:szCs w:val="20"/>
        </w:rPr>
        <w:t xml:space="preserve">提供三个核心方法：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createTask() — 创建视频生成任务（POST /contents/generations/tasks）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queryTask() — 查询任务状态（GET /contents/generations/tasks/:taskId）</w:t>
      </w:r>
    </w:p>
    <w:p>
      <w:pPr>
        <w:pStyle w:val="ListParagraph"/>
        <w:numPr>
          <w:ilvl w:val="0"/>
          <w:numId w:val="3"/>
        </w:numPr>
        <w:spacing w:after="12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waitForCompletion() — 轮询等待完成（可配置超时和间隔）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0"/>
          <w:szCs w:val="20"/>
        </w:rPr>
        <w:t xml:space="preserve">支持的视频生成类型：文转视频、图转视频（首帧、首尾帧、参考图）。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3.2 前端页面实现状态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600"/>
        <w:gridCol w:w="2400"/>
      </w:tblGrid>
      <w:tr>
        <w:trPr>
          <w:cantSplit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页面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实现状态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当前功能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待完善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工作台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✅ 已完成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欢迎横幅、快速操作、数据统计、ECharts 图表、任务列表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接入真实 API 数据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素材库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✅ 已完成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搜索/筛选/排序、拖拽上传、网格/列表双视图、预览弹窗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接入后端上传 API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剧本创作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✅ 已完成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商品信息表单、5 种风格选择、AI 生成动画、分镜脚本、配音/BGM 建议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接入真实 AI API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视频创作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✅ 已完成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4 步流程、模型选择、分镜编辑器、环形进度、生成日志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接入视频生成 API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3.3 设计系统（Design Tokens）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0"/>
          <w:szCs w:val="20"/>
        </w:rPr>
        <w:t xml:space="preserve">前端采用统一的设计系统，通过 theme/tokens.ts 集中管理：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Token 类别</w:t>
            </w:r>
          </w:p>
        </w:tc>
        <w:tc>
          <w:tcPr>
            <w:tcW w:type="dxa" w:w="6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颜色</w:t>
            </w:r>
          </w:p>
        </w:tc>
        <w:tc>
          <w:tcPr>
            <w:tcW w:type="dxa" w:w="6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主色 #6366F1、辅色 #EC4899、成功/警告/错误、渐变色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圆角</w:t>
            </w:r>
          </w:p>
        </w:tc>
        <w:tc>
          <w:tcPr>
            <w:tcW w:type="dxa" w:w="6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sm(4px) / md(8px) / lg(12px) / xl(16px)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间距</w:t>
            </w:r>
          </w:p>
        </w:tc>
        <w:tc>
          <w:tcPr>
            <w:tcW w:type="dxa" w:w="6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xs(4px) ~ xxxl(32px) 等 7 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阴影</w:t>
            </w:r>
          </w:p>
        </w:tc>
        <w:tc>
          <w:tcPr>
            <w:tcW w:type="dxa" w:w="6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sm / md / lg / xl 四级卡片阴影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字体</w:t>
            </w:r>
          </w:p>
        </w:tc>
        <w:tc>
          <w:tcPr>
            <w:tcW w:type="dxa" w:w="6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字号、行高、字重等级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动画</w:t>
            </w:r>
          </w:p>
        </w:tc>
        <w:tc>
          <w:tcPr>
            <w:tcW w:type="dxa" w:w="6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page-enter 入场动画、hover-lift 悬浮效果</w:t>
            </w:r>
          </w:p>
        </w:tc>
      </w:tr>
    </w:tbl>
    <w:p>
      <w:pPr>
        <w:spacing w:after="0" w:before="12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6366F1"/>
          <w:sz w:val="32"/>
          <w:szCs w:val="32"/>
        </w:rPr>
        <w:t xml:space="preserve">四、构建与部署流程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4.1 本地开发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# 安装依赖（根目录 + 子包）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npm install --legacy-peer-deps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cd apps/frontend &amp;&amp; npm install --legacy-peer-deps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cd apps/backend &amp;&amp; npm install --legacy-peer-deps</w:t>
      </w:r>
    </w:p>
    <w:p>
      <w:pPr>
        <w:spacing w:after="0" w:before="60"/>
      </w:pP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# 启动前端开发服务（端口 3000）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cd apps/frontend &amp;&amp; npm run dev</w:t>
      </w:r>
    </w:p>
    <w:p>
      <w:pPr>
        <w:spacing w:after="0" w:before="60"/>
      </w:pP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# 启动后端开发服务（端口 3001）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cd apps/backend &amp;&amp; npm run start:dev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4.2 Railway 构建流程（后端）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0"/>
          <w:szCs w:val="20"/>
        </w:rPr>
        <w:t xml:space="preserve">Railway 使用 Nixpacks 构建，流程由 nixpacks.toml 控制：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Setup — 安装 Node.js 20 + npm 10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Install — 根目录 + apps/frontend + apps/backend 依赖安装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Build — 前端 tsc + vite build，后端 nest build</w:t>
      </w:r>
    </w:p>
    <w:p>
      <w:pPr>
        <w:pStyle w:val="ListParagraph"/>
        <w:numPr>
          <w:ilvl w:val="0"/>
          <w:numId w:val="3"/>
        </w:numPr>
        <w:spacing w:after="12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Start — cd apps/backend &amp;&amp; npm run start:prod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4.3 Vercel 部署流程（前端）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配置项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Root Directory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apps/frontend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Output Directory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dist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npm run build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Framework Preset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Vite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Node.js Version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20.x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4.4 Git 工作流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# 提交并推送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git add -A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git commit -m "feat: 描述修改内容"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git push origin main</w:t>
      </w:r>
    </w:p>
    <w:p>
      <w:pPr>
        <w:spacing w:after="0" w:before="60"/>
      </w:pPr>
    </w:p>
    <w:p>
      <w:pPr>
        <w:spacing w:after="120" w:line="360"/>
      </w:pPr>
      <w:r>
        <w:rPr>
          <w:rFonts w:ascii="Arial" w:eastAsia="Microsoft YaHei" w:hAnsi="Arial"/>
          <w:color w:val="334155"/>
          <w:sz w:val="20"/>
          <w:szCs w:val="20"/>
        </w:rPr>
        <w:t xml:space="preserve">推送后会自动触发：Railway 监听 apps/** 目录变更，Vercel 监听整个仓库。若未自动触发，可在 Railway 面板手动 Redeploy。</w:t>
      </w:r>
    </w:p>
    <w:p>
      <w:pPr>
        <w:spacing w:after="0" w:before="12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6366F1"/>
          <w:sz w:val="32"/>
          <w:szCs w:val="32"/>
        </w:rPr>
        <w:t xml:space="preserve">五、待办事项与后续规划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5.1 当前紧急事项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2000"/>
      </w:tblGrid>
      <w:tr>
        <w:trPr>
          <w:cantSplit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优先级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事项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修复 Railway 构建失败（依赖安装问题）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进行中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前端接入后端真实 API（替换模拟数据）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待开始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素材上传功能对接后端 Multer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待开始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剧本生成对接火山方舟 Chat API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待开始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视频生成对接火山方舟 Video API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待开始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5.2 Phase 2 规划（核心功能完善）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向量检索服务（pgvector/Milvus）— 素材语义检索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剧本生成工作流（LangGraph）— 多步骤智能生成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分镜编辑器升级— 时间轴 + 拖拽排序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智能编辑 Agent— 视频后期处理（字幕、配音、剪辑）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5.3 Phase 3 规划（数据看板）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数据看板可视化升级— 多维度图表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多因子归因分析— 视频效果归因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A/B 对比功能— 不同剧本/模型效果对比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5.4 Phase 4 规划（打磨与交付）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动画与过渡效果优化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移动端响应式适配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全局错误处理与边界情况处理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4155"/>
          <w:sz w:val="20"/>
          <w:szCs w:val="20"/>
        </w:rPr>
        <w:t xml:space="preserve">项目文档与演示视频制作</w:t>
      </w:r>
    </w:p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6366F1"/>
          <w:sz w:val="32"/>
          <w:szCs w:val="32"/>
        </w:rPr>
        <w:t xml:space="preserve">附录：常用命令速查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场景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命令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前端本地开发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cd apps/frontend &amp;&amp; npm run dev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后端本地开发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cd apps/backend &amp;&amp; npm run start:dev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前端构建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cd apps/frontend &amp;&amp; npx vite build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后端构建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cd apps/backend &amp;&amp; npm run build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提交代码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git add -A &amp;&amp; git commit -m "msg" &amp;&amp; git push origin main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查看后端健康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curl https://vidforge-production-6e07.up.railway.app/api/health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查看 API 文档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浏览器打开 /api/docs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Railway 手动重部署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8"/>
                <w:szCs w:val="18"/>
              </w:rPr>
              <w:t xml:space="preserve">Railway 面板 → Deployments → Redeploy</w:t>
            </w:r>
          </w:p>
        </w:tc>
      </w:tr>
    </w:tbl>
    <w:sectPr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—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4748B"/>
        <w:sz w:val="16"/>
        <w:szCs w:val="16"/>
      </w:rPr>
      <w:t xml:space="preserve">VidForge 项目文档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2026-05-24T06:14:07.938Z</dcterms:created>
  <dcterms:modified xsi:type="dcterms:W3CDTF">2026-05-24T06:14:07.938Z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