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documentación programas waposat: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libreria waposat: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una librería para poder hacer uso de un relay.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forma de usar es la siguiente: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1.- incluir la libreria : #include &lt;waposat.h&gt;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2.-crear un objeto de la clase waposat : waposat XD;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3.-y utilizar las funciones OnRelay(); y OffRelay();de la siguiente forma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XD.OnRelay(); // activa el relay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XD.OffRelay(); // desactiva el relay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4.-estas funciones se utilizaran para poder activar o desactivar en cualquier parte del codigo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PROGRAMAS WAPOSAT: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gprs       4 _ 20ma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WS_B02R0102M02H02_V02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wifi    4_20ma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WS_B02R02M01H01_V02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WS_B02R02M01H02_V01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WS_B02R02M01H01_V01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smart wather     gprs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WS_B01R01_02_M01H01_V02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WS_B01R01_02_M01H02_V01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smart wather      wifi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WS_B01_R02M01H01_V02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WS_B01_R02M01H01_V01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