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A146C" w14:textId="6F2D7316" w:rsidR="00353810" w:rsidRPr="00B34937" w:rsidRDefault="00334054" w:rsidP="00B34937">
      <w:pPr>
        <w:jc w:val="both"/>
      </w:pPr>
      <w:r w:rsidRPr="00334054">
        <w:rPr>
          <w:b/>
          <w:bCs/>
          <w:color w:val="0070C0"/>
          <w:sz w:val="28"/>
          <w:szCs w:val="28"/>
        </w:rPr>
        <w:t xml:space="preserve">Insights, </w:t>
      </w:r>
      <w:r w:rsidRPr="00334054">
        <w:t xml:space="preserve">a rapidly expanding firm specializing in </w:t>
      </w:r>
      <w:r w:rsidR="004C77BE">
        <w:t>multi-disciplinary</w:t>
      </w:r>
      <w:r w:rsidRPr="00334054">
        <w:t xml:space="preserve"> services, is dedicated to delivering fully integrated and top-tier financial solutions. Our esteemed clients benefit from a comprehensive range of valuation services, as our dynamic team of more than 65 professionals operates across strategic global markets such as KSA, the Middle East, the UK, North America, and Australia. This distinctive positioning empowers us to provide unparalleled service quality.</w:t>
      </w:r>
    </w:p>
    <w:p w14:paraId="4A46FFF5" w14:textId="3DA4FB85" w:rsidR="00353810" w:rsidRDefault="00B34937" w:rsidP="00C1088B">
      <w:pPr>
        <w:jc w:val="both"/>
        <w:rPr>
          <w:b/>
          <w:bCs/>
        </w:rPr>
      </w:pPr>
      <w:r>
        <w:rPr>
          <w:b/>
          <w:bCs/>
        </w:rPr>
        <w:t>Actuarial Valuation Services:</w:t>
      </w:r>
    </w:p>
    <w:p w14:paraId="4902B38D" w14:textId="6EE0A807" w:rsidR="00B34937" w:rsidRDefault="0089086C" w:rsidP="00C1088B">
      <w:pPr>
        <w:jc w:val="both"/>
      </w:pPr>
      <w:r w:rsidRPr="0089086C">
        <w:t xml:space="preserve">Insights </w:t>
      </w:r>
      <w:r>
        <w:t>provides</w:t>
      </w:r>
      <w:r w:rsidRPr="0089086C">
        <w:t xml:space="preserve"> actuarial valuations to more than </w:t>
      </w:r>
      <w:r>
        <w:t>300</w:t>
      </w:r>
      <w:r w:rsidRPr="0089086C">
        <w:t xml:space="preserve"> clients over the MENA region that are necessary to assess the long-term sustainability of a defined benefit plan and can serve as a decision-making tool for plan sponsors.</w:t>
      </w:r>
    </w:p>
    <w:p w14:paraId="28AD0242" w14:textId="70DE66A2" w:rsidR="00855941" w:rsidRPr="00855941" w:rsidRDefault="00855941" w:rsidP="00855941">
      <w:r w:rsidRPr="00855941">
        <w:t xml:space="preserve">The summary will include complete disclosures as required under International Accounting Standard 19 (“IAS 19”), International Public Sector Accounting Standards (IPSAS-39), and </w:t>
      </w:r>
      <w:r>
        <w:t xml:space="preserve">section 28 of </w:t>
      </w:r>
      <w:r w:rsidRPr="00855941">
        <w:t>IFRS for SMEs (depending on the client’s reporting requirements), including but not restricted to the following:</w:t>
      </w:r>
    </w:p>
    <w:p w14:paraId="103C5AD2" w14:textId="77777777" w:rsidR="00855941" w:rsidRPr="00855941" w:rsidRDefault="00855941" w:rsidP="00855941">
      <w:pPr>
        <w:pStyle w:val="NoSpacing"/>
        <w:numPr>
          <w:ilvl w:val="0"/>
          <w:numId w:val="2"/>
        </w:numPr>
      </w:pPr>
      <w:r w:rsidRPr="00855941">
        <w:t xml:space="preserve">Defined Benefit Obligation (DBO) as at the valuation date </w:t>
      </w:r>
    </w:p>
    <w:p w14:paraId="7674F0A5" w14:textId="77777777" w:rsidR="00855941" w:rsidRPr="00855941" w:rsidRDefault="00855941" w:rsidP="00855941">
      <w:pPr>
        <w:pStyle w:val="NoSpacing"/>
        <w:numPr>
          <w:ilvl w:val="0"/>
          <w:numId w:val="2"/>
        </w:numPr>
      </w:pPr>
      <w:r w:rsidRPr="00855941">
        <w:t xml:space="preserve">Statement of Financial Position as at the valuation date </w:t>
      </w:r>
    </w:p>
    <w:p w14:paraId="7F40D948" w14:textId="77777777" w:rsidR="00855941" w:rsidRPr="00855941" w:rsidRDefault="00855941" w:rsidP="00855941">
      <w:pPr>
        <w:pStyle w:val="NoSpacing"/>
        <w:numPr>
          <w:ilvl w:val="0"/>
          <w:numId w:val="2"/>
        </w:numPr>
      </w:pPr>
      <w:r w:rsidRPr="00855941">
        <w:t xml:space="preserve">Analysis of DBO as at valuation date into Vested and Non-Vested Cost to be recognized in the Statement of Profit &amp; Loss for the year </w:t>
      </w:r>
    </w:p>
    <w:p w14:paraId="75DC9C5C" w14:textId="77777777" w:rsidR="00855941" w:rsidRPr="00855941" w:rsidRDefault="00855941" w:rsidP="00855941">
      <w:pPr>
        <w:pStyle w:val="NoSpacing"/>
        <w:numPr>
          <w:ilvl w:val="0"/>
          <w:numId w:val="2"/>
        </w:numPr>
      </w:pPr>
      <w:r w:rsidRPr="00855941">
        <w:t xml:space="preserve">Actuarial gains/losses to be recognized in Other Comprehensive </w:t>
      </w:r>
    </w:p>
    <w:p w14:paraId="2B676358" w14:textId="77777777" w:rsidR="00855941" w:rsidRPr="00855941" w:rsidRDefault="00855941" w:rsidP="00855941">
      <w:pPr>
        <w:pStyle w:val="NoSpacing"/>
        <w:numPr>
          <w:ilvl w:val="0"/>
          <w:numId w:val="2"/>
        </w:numPr>
      </w:pPr>
      <w:r w:rsidRPr="00855941">
        <w:t xml:space="preserve">Income arising due to changes in economic, demographic assumptions or experience adjustments for the year </w:t>
      </w:r>
    </w:p>
    <w:p w14:paraId="385AEC6E" w14:textId="77777777" w:rsidR="00855941" w:rsidRPr="00855941" w:rsidRDefault="00855941" w:rsidP="00855941">
      <w:pPr>
        <w:pStyle w:val="NoSpacing"/>
        <w:numPr>
          <w:ilvl w:val="0"/>
          <w:numId w:val="2"/>
        </w:numPr>
      </w:pPr>
      <w:r w:rsidRPr="00855941">
        <w:t xml:space="preserve">Estimated Cost to be recognized in P &amp; L in the year following the valuation date </w:t>
      </w:r>
    </w:p>
    <w:p w14:paraId="6A1B4B50" w14:textId="77777777" w:rsidR="00855941" w:rsidRDefault="00855941" w:rsidP="00855941">
      <w:pPr>
        <w:pStyle w:val="NoSpacing"/>
        <w:numPr>
          <w:ilvl w:val="0"/>
          <w:numId w:val="2"/>
        </w:numPr>
      </w:pPr>
      <w:r w:rsidRPr="00855941">
        <w:t>Economic and Actuarial assumptions Maturity Profile of DBO (</w:t>
      </w:r>
      <w:proofErr w:type="gramStart"/>
      <w:r w:rsidRPr="00855941">
        <w:t>i.e.</w:t>
      </w:r>
      <w:proofErr w:type="gramEnd"/>
      <w:r w:rsidRPr="00855941">
        <w:t xml:space="preserve"> effect of defined benefit plan on entity’s future cash flows) </w:t>
      </w:r>
    </w:p>
    <w:p w14:paraId="132CFA0D" w14:textId="1F14555B" w:rsidR="00855941" w:rsidRPr="00855941" w:rsidRDefault="00855941" w:rsidP="00855941">
      <w:pPr>
        <w:pStyle w:val="NoSpacing"/>
        <w:numPr>
          <w:ilvl w:val="0"/>
          <w:numId w:val="2"/>
        </w:numPr>
      </w:pPr>
      <w:r w:rsidRPr="00855941">
        <w:t xml:space="preserve">Employee-wise split of EOSB liability figures at each year-end </w:t>
      </w:r>
    </w:p>
    <w:p w14:paraId="35D10828" w14:textId="539E0384" w:rsidR="00353810" w:rsidRDefault="00855941" w:rsidP="00855941">
      <w:pPr>
        <w:pStyle w:val="NoSpacing"/>
        <w:numPr>
          <w:ilvl w:val="0"/>
          <w:numId w:val="2"/>
        </w:numPr>
      </w:pPr>
      <w:r w:rsidRPr="00855941">
        <w:t>Sensitivity Analysis of the Present Value of DBO for changes in the Discount rate and Salary Escalation rate.</w:t>
      </w:r>
    </w:p>
    <w:p w14:paraId="5E54E5D3" w14:textId="77777777" w:rsidR="00855941" w:rsidRPr="00855941" w:rsidRDefault="00855941" w:rsidP="00855941">
      <w:pPr>
        <w:pStyle w:val="NoSpacing"/>
        <w:ind w:left="720"/>
      </w:pPr>
    </w:p>
    <w:p w14:paraId="2FA1E1C3" w14:textId="0E07CD42" w:rsidR="00A831AF" w:rsidRDefault="00A831AF" w:rsidP="00C1088B">
      <w:pPr>
        <w:jc w:val="both"/>
        <w:rPr>
          <w:b/>
          <w:bCs/>
        </w:rPr>
      </w:pPr>
      <w:r w:rsidRPr="00A831AF">
        <w:rPr>
          <w:b/>
          <w:bCs/>
        </w:rPr>
        <w:t>Other Professional Services</w:t>
      </w:r>
    </w:p>
    <w:p w14:paraId="6CB207C2" w14:textId="6766670E" w:rsidR="00A831AF" w:rsidRDefault="00A831AF" w:rsidP="00C1088B">
      <w:pPr>
        <w:jc w:val="both"/>
        <w:rPr>
          <w:color w:val="2F5496" w:themeColor="accent1" w:themeShade="BF"/>
        </w:rPr>
      </w:pPr>
      <w:r w:rsidRPr="008B04A8">
        <w:rPr>
          <w:color w:val="2F5496" w:themeColor="accent1" w:themeShade="BF"/>
        </w:rPr>
        <w:t xml:space="preserve">Feasibility Studies   </w:t>
      </w:r>
      <w:r w:rsidR="008B04A8" w:rsidRPr="008B04A8">
        <w:rPr>
          <w:color w:val="2F5496" w:themeColor="accent1" w:themeShade="BF"/>
        </w:rPr>
        <w:t xml:space="preserve">  </w:t>
      </w:r>
      <w:r w:rsidRPr="008B04A8">
        <w:rPr>
          <w:color w:val="2F5496" w:themeColor="accent1" w:themeShade="BF"/>
        </w:rPr>
        <w:t>Due Diligence    Business Plans      Financial Modelling</w:t>
      </w:r>
      <w:r w:rsidR="008B04A8" w:rsidRPr="008B04A8">
        <w:rPr>
          <w:color w:val="2F5496" w:themeColor="accent1" w:themeShade="BF"/>
        </w:rPr>
        <w:t xml:space="preserve">    Corporate Strategic Plan    </w:t>
      </w:r>
      <w:r w:rsidRPr="008B04A8">
        <w:rPr>
          <w:color w:val="2F5496" w:themeColor="accent1" w:themeShade="BF"/>
        </w:rPr>
        <w:t xml:space="preserve">     </w:t>
      </w:r>
      <w:r w:rsidR="008B04A8" w:rsidRPr="008B04A8">
        <w:rPr>
          <w:color w:val="2F5496" w:themeColor="accent1" w:themeShade="BF"/>
        </w:rPr>
        <w:t xml:space="preserve"> </w:t>
      </w:r>
      <w:r w:rsidRPr="008B04A8">
        <w:rPr>
          <w:color w:val="2F5496" w:themeColor="accent1" w:themeShade="BF"/>
        </w:rPr>
        <w:t xml:space="preserve">Fund Raising (Equity, Structured Finance and </w:t>
      </w:r>
      <w:proofErr w:type="gramStart"/>
      <w:r w:rsidR="008B04A8" w:rsidRPr="008B04A8">
        <w:rPr>
          <w:color w:val="2F5496" w:themeColor="accent1" w:themeShade="BF"/>
        </w:rPr>
        <w:t xml:space="preserve">Debt)  </w:t>
      </w:r>
      <w:r w:rsidRPr="008B04A8">
        <w:rPr>
          <w:color w:val="2F5496" w:themeColor="accent1" w:themeShade="BF"/>
        </w:rPr>
        <w:t xml:space="preserve"> </w:t>
      </w:r>
      <w:proofErr w:type="gramEnd"/>
      <w:r w:rsidRPr="008B04A8">
        <w:rPr>
          <w:color w:val="2F5496" w:themeColor="accent1" w:themeShade="BF"/>
        </w:rPr>
        <w:t xml:space="preserve">  M&amp;A Advisory (Sell Side &amp; Buy Side)   Transaction Advisory  </w:t>
      </w:r>
      <w:r w:rsidR="008B04A8">
        <w:rPr>
          <w:color w:val="2F5496" w:themeColor="accent1" w:themeShade="BF"/>
        </w:rPr>
        <w:t xml:space="preserve"> </w:t>
      </w:r>
      <w:r w:rsidRPr="008B04A8">
        <w:rPr>
          <w:color w:val="2F5496" w:themeColor="accent1" w:themeShade="BF"/>
        </w:rPr>
        <w:t xml:space="preserve"> </w:t>
      </w:r>
      <w:r w:rsidR="008B04A8">
        <w:rPr>
          <w:color w:val="2F5496" w:themeColor="accent1" w:themeShade="BF"/>
        </w:rPr>
        <w:t>Assistance in Deal Negotiation    Startup Advisory     Bid/Process Advisory Services</w:t>
      </w:r>
    </w:p>
    <w:p w14:paraId="5E8C851C" w14:textId="672A240C" w:rsidR="008B04A8" w:rsidRDefault="008B04A8" w:rsidP="00C1088B">
      <w:pPr>
        <w:jc w:val="both"/>
        <w:rPr>
          <w:color w:val="2F5496" w:themeColor="accent1" w:themeShade="BF"/>
        </w:rPr>
      </w:pPr>
    </w:p>
    <w:p w14:paraId="481CD1EA" w14:textId="2A6E85AF" w:rsidR="00CC24A8" w:rsidRDefault="00CC24A8" w:rsidP="00C1088B">
      <w:pPr>
        <w:jc w:val="both"/>
      </w:pPr>
      <w:r>
        <w:t xml:space="preserve">Insights has been advising large and mid-market clients in KSA for more than </w:t>
      </w:r>
      <w:r w:rsidR="00CD3FFE">
        <w:t>eight</w:t>
      </w:r>
      <w:r>
        <w:t xml:space="preserve"> (</w:t>
      </w:r>
      <w:r w:rsidR="00CD3FFE">
        <w:t>8</w:t>
      </w:r>
      <w:r>
        <w:t xml:space="preserve">) years with its Headquarter based in Riyadh. To find more details about our clientele and advisory services, please refer below link to download our profile. </w:t>
      </w:r>
    </w:p>
    <w:p w14:paraId="6C9D4D3C" w14:textId="77777777" w:rsidR="00CC24A8" w:rsidRDefault="00CC24A8" w:rsidP="00C1088B">
      <w:pPr>
        <w:jc w:val="both"/>
      </w:pPr>
    </w:p>
    <w:p w14:paraId="320F99C6" w14:textId="14ADDA53" w:rsidR="008B04A8" w:rsidRPr="008B04A8" w:rsidRDefault="00755FC1" w:rsidP="00C1088B">
      <w:pPr>
        <w:jc w:val="both"/>
      </w:pPr>
      <w:r>
        <w:t>If you feel interested in gaining any further information related to above mentioned advisory services, please feel free to reach us out by replying to this email or send us the request for proposal using icon below.</w:t>
      </w:r>
    </w:p>
    <w:p w14:paraId="416F562C" w14:textId="77777777" w:rsidR="008B04A8" w:rsidRPr="008B04A8" w:rsidRDefault="008B04A8" w:rsidP="00C1088B">
      <w:pPr>
        <w:jc w:val="both"/>
        <w:rPr>
          <w:color w:val="2F5496" w:themeColor="accent1" w:themeShade="BF"/>
        </w:rPr>
      </w:pPr>
    </w:p>
    <w:sectPr w:rsidR="008B04A8" w:rsidRPr="008B0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951B2"/>
    <w:multiLevelType w:val="hybridMultilevel"/>
    <w:tmpl w:val="ABBE4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B6D9A"/>
    <w:multiLevelType w:val="hybridMultilevel"/>
    <w:tmpl w:val="FA181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4986540">
    <w:abstractNumId w:val="0"/>
  </w:num>
  <w:num w:numId="2" w16cid:durableId="1787040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94D"/>
    <w:rsid w:val="0021588D"/>
    <w:rsid w:val="002A4E0B"/>
    <w:rsid w:val="00334054"/>
    <w:rsid w:val="00353810"/>
    <w:rsid w:val="0040194D"/>
    <w:rsid w:val="004C77BE"/>
    <w:rsid w:val="006419EC"/>
    <w:rsid w:val="00755FC1"/>
    <w:rsid w:val="00855941"/>
    <w:rsid w:val="0089086C"/>
    <w:rsid w:val="008B04A8"/>
    <w:rsid w:val="009F70F9"/>
    <w:rsid w:val="00A831AF"/>
    <w:rsid w:val="00B34937"/>
    <w:rsid w:val="00C1088B"/>
    <w:rsid w:val="00C709D8"/>
    <w:rsid w:val="00CC24A8"/>
    <w:rsid w:val="00CD3FFE"/>
    <w:rsid w:val="00EB0A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7580BC"/>
  <w15:chartTrackingRefBased/>
  <w15:docId w15:val="{76631997-F3AE-4BAB-8F0A-B6FBB6B75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9EC"/>
    <w:pPr>
      <w:ind w:left="720"/>
      <w:contextualSpacing/>
    </w:pPr>
  </w:style>
  <w:style w:type="character" w:styleId="CommentReference">
    <w:name w:val="annotation reference"/>
    <w:basedOn w:val="DefaultParagraphFont"/>
    <w:uiPriority w:val="99"/>
    <w:semiHidden/>
    <w:unhideWhenUsed/>
    <w:rsid w:val="00755FC1"/>
    <w:rPr>
      <w:sz w:val="16"/>
      <w:szCs w:val="16"/>
    </w:rPr>
  </w:style>
  <w:style w:type="paragraph" w:styleId="CommentText">
    <w:name w:val="annotation text"/>
    <w:basedOn w:val="Normal"/>
    <w:link w:val="CommentTextChar"/>
    <w:uiPriority w:val="99"/>
    <w:semiHidden/>
    <w:unhideWhenUsed/>
    <w:rsid w:val="00755FC1"/>
    <w:pPr>
      <w:spacing w:line="240" w:lineRule="auto"/>
    </w:pPr>
    <w:rPr>
      <w:sz w:val="20"/>
      <w:szCs w:val="20"/>
    </w:rPr>
  </w:style>
  <w:style w:type="character" w:customStyle="1" w:styleId="CommentTextChar">
    <w:name w:val="Comment Text Char"/>
    <w:basedOn w:val="DefaultParagraphFont"/>
    <w:link w:val="CommentText"/>
    <w:uiPriority w:val="99"/>
    <w:semiHidden/>
    <w:rsid w:val="00755FC1"/>
    <w:rPr>
      <w:sz w:val="20"/>
      <w:szCs w:val="20"/>
    </w:rPr>
  </w:style>
  <w:style w:type="paragraph" w:styleId="CommentSubject">
    <w:name w:val="annotation subject"/>
    <w:basedOn w:val="CommentText"/>
    <w:next w:val="CommentText"/>
    <w:link w:val="CommentSubjectChar"/>
    <w:uiPriority w:val="99"/>
    <w:semiHidden/>
    <w:unhideWhenUsed/>
    <w:rsid w:val="00755FC1"/>
    <w:rPr>
      <w:b/>
      <w:bCs/>
    </w:rPr>
  </w:style>
  <w:style w:type="character" w:customStyle="1" w:styleId="CommentSubjectChar">
    <w:name w:val="Comment Subject Char"/>
    <w:basedOn w:val="CommentTextChar"/>
    <w:link w:val="CommentSubject"/>
    <w:uiPriority w:val="99"/>
    <w:semiHidden/>
    <w:rsid w:val="00755FC1"/>
    <w:rPr>
      <w:b/>
      <w:bCs/>
      <w:sz w:val="20"/>
      <w:szCs w:val="20"/>
    </w:rPr>
  </w:style>
  <w:style w:type="paragraph" w:styleId="BalloonText">
    <w:name w:val="Balloon Text"/>
    <w:basedOn w:val="Normal"/>
    <w:link w:val="BalloonTextChar"/>
    <w:uiPriority w:val="99"/>
    <w:semiHidden/>
    <w:unhideWhenUsed/>
    <w:rsid w:val="00755F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FC1"/>
    <w:rPr>
      <w:rFonts w:ascii="Segoe UI" w:hAnsi="Segoe UI" w:cs="Segoe UI"/>
      <w:sz w:val="18"/>
      <w:szCs w:val="18"/>
    </w:rPr>
  </w:style>
  <w:style w:type="paragraph" w:styleId="NoSpacing">
    <w:name w:val="No Spacing"/>
    <w:uiPriority w:val="1"/>
    <w:qFormat/>
    <w:rsid w:val="008559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390</Words>
  <Characters>2228</Characters>
  <Application>Microsoft Office Word</Application>
  <DocSecurity>0</DocSecurity>
  <Lines>38</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shahid</dc:creator>
  <cp:keywords/>
  <dc:description/>
  <cp:lastModifiedBy>Hassan Naeem</cp:lastModifiedBy>
  <cp:revision>12</cp:revision>
  <dcterms:created xsi:type="dcterms:W3CDTF">2023-11-12T07:42:00Z</dcterms:created>
  <dcterms:modified xsi:type="dcterms:W3CDTF">2023-11-30T10:06:00Z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fad8c9a569bc565163d6ed7c96bdc92332198ecd06cb041324ae55e0ae21e57b</vt:lpwstr>
  </property>
</Properties>
</file>