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6a34a"/>
          <w:sz w:val="28"/>
          <w:szCs w:val="28"/>
        </w:rPr>
        <w:t xml:space="preserve">PUBLIC</w:t>
      </w:r>
    </w:p>
    <w:p>
      <w:pPr>
        <w:spacing w:before="600"/>
        <w:jc w:val="center"/>
      </w:pPr>
      <w:r>
        <w:rPr>
          <w:rFonts w:ascii="Arial" w:cs="Arial" w:eastAsia="Arial" w:hAnsi="Arial"/>
          <w:b/>
          <w:bCs/>
          <w:color w:val="0f3460"/>
          <w:sz w:val="40"/>
          <w:szCs w:val="40"/>
        </w:rPr>
        <w:t xml:space="preserve">Workforce Dynamics &amp; US Exposure Analysis</w:t>
      </w:r>
    </w:p>
    <w:p>
      <w:pPr>
        <w:spacing w:before="200"/>
        <w:jc w:val="center"/>
      </w:pPr>
      <w:r>
        <w:rPr>
          <w:rFonts w:ascii="Arial" w:cs="Arial" w:eastAsia="Arial" w:hAnsi="Arial"/>
          <w:color w:val="6b7280"/>
          <w:sz w:val="24"/>
          <w:szCs w:val="24"/>
        </w:rPr>
        <w:t xml:space="preserve">Employee Turnover Benchmarking &amp; US Revenue Concentration</w:t>
      </w:r>
    </w:p>
    <w:p>
      <w:pPr>
        <w:spacing w:before="200"/>
        <w:jc w:val="center"/>
      </w:pPr>
      <w:r>
        <w:rPr>
          <w:rFonts w:ascii="Arial" w:cs="Arial" w:eastAsia="Arial" w:hAnsi="Arial"/>
          <w:color w:val="6b7280"/>
          <w:sz w:val="22"/>
          <w:szCs w:val="22"/>
        </w:rPr>
        <w:t xml:space="preserve">Canadian Big 6 D-SIB Banks — FY2024</w:t>
      </w:r>
    </w:p>
    <w:p>
      <w:pPr>
        <w:spacing w:before="600"/>
        <w:jc w:val="center"/>
      </w:pPr>
      <w:r>
        <w:rPr>
          <w:rFonts w:ascii="Arial" w:cs="Arial" w:eastAsia="Arial" w:hAnsi="Arial"/>
          <w:i/>
          <w:iCs/>
          <w:color w:val="2563eb"/>
          <w:sz w:val="20"/>
          <w:szCs w:val="20"/>
        </w:rPr>
        <w:t xml:space="preserve">Companion Report to TOCA vs LOB Peer Benchmarking Analysis</w:t>
      </w:r>
    </w:p>
    <w:p>
      <w:pPr>
        <w:spacing w:before="400"/>
        <w:jc w:val="center"/>
      </w:pPr>
      <w:r>
        <w:rPr>
          <w:rFonts w:ascii="Arial" w:cs="Arial" w:eastAsia="Arial" w:hAnsi="Arial"/>
          <w:b/>
          <w:bCs/>
          <w:color w:val="0f3460"/>
          <w:sz w:val="22"/>
          <w:szCs w:val="22"/>
        </w:rPr>
        <w:t xml:space="preserve">WARLAB — Prepared by MIA</w:t>
      </w:r>
    </w:p>
    <w:p>
      <w:pPr>
        <w:spacing w:before="100"/>
        <w:jc w:val="center"/>
      </w:pPr>
      <w:r>
        <w:rPr>
          <w:rFonts w:ascii="Arial" w:cs="Arial" w:eastAsia="Arial" w:hAnsi="Arial"/>
          <w:color w:val="9ca3af"/>
          <w:sz w:val="18"/>
          <w:szCs w:val="18"/>
        </w:rPr>
        <w:t xml:space="preserve">Based Entirely on Publicly Available Information</w:t>
      </w:r>
    </w:p>
    <w:p>
      <w:r>
        <w:br w:type="page"/>
      </w:r>
    </w:p>
    <w:p>
      <w:pPr>
        <w:pStyle w:val="Heading1"/>
        <w:spacing w:after="100" w:before="300"/>
      </w:pPr>
      <w:r>
        <w:rPr>
          <w:rFonts w:ascii="Arial" w:cs="Arial" w:eastAsia="Arial" w:hAnsi="Arial"/>
          <w:b/>
          <w:bCs/>
          <w:color w:val="0f3460"/>
          <w:sz w:val="32"/>
          <w:szCs w:val="32"/>
        </w:rPr>
        <w:t xml:space="preserve">1. Executive Summary</w:t>
      </w:r>
    </w:p>
    <w:p>
      <w:pPr>
        <w:spacing w:after="120"/>
      </w:pPr>
      <w:r>
        <w:rPr>
          <w:rFonts w:ascii="Arial" w:cs="Arial" w:eastAsia="Arial" w:hAnsi="Arial"/>
          <w:color w:val="374151"/>
          <w:sz w:val="21"/>
          <w:szCs w:val="21"/>
        </w:rPr>
        <w:t xml:space="preserve">This companion report extends the TOCA vs LOB peer benchmarking analysis with two additional dimensions: employee turnover patterns and US revenue concentration across the Canadian Big 6 D-SIB banks. Both variables offer significant explanatory power for BMO's elevated non-revenue-producing overhead.</w:t>
      </w:r>
    </w:p>
    <w:p>
      <w:pPr>
        <w:spacing w:after="120"/>
      </w:pPr>
      <w:r>
        <w:rPr>
          <w:rFonts w:ascii="Arial" w:cs="Arial" w:eastAsia="Arial" w:hAnsi="Arial"/>
          <w:color w:val="374151"/>
          <w:sz w:val="21"/>
          <w:szCs w:val="21"/>
        </w:rPr>
        <w:t xml:space="preserve">Key findings:</w:t>
      </w:r>
    </w:p>
    <w:p>
      <w:pPr>
        <w:spacing w:after="120"/>
      </w:pPr>
      <w:r>
        <w:rPr>
          <w:rFonts w:ascii="Arial" w:cs="Arial" w:eastAsia="Arial" w:hAnsi="Arial"/>
          <w:b/>
          <w:bCs/>
          <w:color w:val="374151"/>
          <w:sz w:val="21"/>
          <w:szCs w:val="21"/>
        </w:rPr>
        <w:t xml:space="preserve">• BMO's total turnover rate (16.6%) is the second-highest among the Big 6, behind only Scotiabank (17.5%). BMO's US voluntary turnover (12.2%) runs 24% higher than its Canadian rate (9.8%).</w:t>
      </w:r>
    </w:p>
    <w:p>
      <w:pPr>
        <w:spacing w:after="120"/>
      </w:pPr>
      <w:r>
        <w:rPr>
          <w:rFonts w:ascii="Arial" w:cs="Arial" w:eastAsia="Arial" w:hAnsi="Arial"/>
          <w:color w:val="374151"/>
          <w:sz w:val="21"/>
          <w:szCs w:val="21"/>
        </w:rPr>
        <w:t xml:space="preserve">• TD exhibits a similar pattern: US voluntary turnover at 11.4% vs Canada at 10.1%, with US involuntary turnover (5.1%) nearly double the Canadian rate (2.8%).</w:t>
      </w:r>
    </w:p>
    <w:p>
      <w:pPr>
        <w:spacing w:after="120"/>
      </w:pPr>
      <w:r>
        <w:rPr>
          <w:rFonts w:ascii="Arial" w:cs="Arial" w:eastAsia="Arial" w:hAnsi="Arial"/>
          <w:color w:val="374151"/>
          <w:sz w:val="21"/>
          <w:szCs w:val="21"/>
        </w:rPr>
        <w:t xml:space="preserve">• BMO has the highest US revenue concentration among the Big 6 at approximately 30-35% of earnings, with 34.4% of its workforce (19,621 employees) based in the US. TD follows at approximately 25-30%.</w:t>
      </w:r>
    </w:p>
    <w:p>
      <w:pPr>
        <w:spacing w:after="120"/>
      </w:pPr>
      <w:r>
        <w:rPr>
          <w:rFonts w:ascii="Arial" w:cs="Arial" w:eastAsia="Arial" w:hAnsi="Arial"/>
          <w:color w:val="374151"/>
          <w:sz w:val="21"/>
          <w:szCs w:val="21"/>
        </w:rPr>
        <w:t xml:space="preserve">• US operations impose structural cost premiums through Enhanced Prudential Standards (EPS), duplicate infrastructure requirements, higher compensation, and elevated turnover — all of which inflate non-revenue-producing headcount.</w:t>
      </w:r>
    </w:p>
    <w:p>
      <w:r>
        <w:br w:type="page"/>
      </w:r>
    </w:p>
    <w:p>
      <w:pPr>
        <w:pStyle w:val="Heading1"/>
        <w:spacing w:after="100" w:before="300"/>
      </w:pPr>
      <w:r>
        <w:rPr>
          <w:rFonts w:ascii="Arial" w:cs="Arial" w:eastAsia="Arial" w:hAnsi="Arial"/>
          <w:b/>
          <w:bCs/>
          <w:color w:val="0f3460"/>
          <w:sz w:val="32"/>
          <w:szCs w:val="32"/>
        </w:rPr>
        <w:t xml:space="preserve">2. Employee Turnover Benchmarking</w:t>
      </w:r>
    </w:p>
    <w:p>
      <w:pPr>
        <w:spacing w:after="120"/>
      </w:pPr>
      <w:r>
        <w:rPr>
          <w:rFonts w:ascii="Arial" w:cs="Arial" w:eastAsia="Arial" w:hAnsi="Arial"/>
          <w:color w:val="374151"/>
          <w:sz w:val="21"/>
          <w:szCs w:val="21"/>
        </w:rPr>
        <w:t xml:space="preserve">All turnover data was extracted from FY2024 sustainability reports published by each bank. Figures represent the fiscal year ended October 31, 2024.</w:t>
      </w:r>
    </w:p>
    <w:p>
      <w:pPr>
        <w:pStyle w:val="Heading2"/>
        <w:spacing w:after="100" w:before="300"/>
      </w:pPr>
      <w:r>
        <w:rPr>
          <w:rFonts w:ascii="Arial" w:cs="Arial" w:eastAsia="Arial" w:hAnsi="Arial"/>
          <w:b/>
          <w:bCs/>
          <w:color w:val="0f3460"/>
          <w:sz w:val="26"/>
          <w:szCs w:val="26"/>
        </w:rPr>
        <w:t xml:space="preserve">2.1 Peer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800"/>
            <w:shd w:fill="0f3460"/>
          </w:tcPr>
          <w:p>
            <w:pPr>
              <w:jc w:val="center"/>
            </w:pPr>
            <w:r>
              <w:rPr>
                <w:rFonts w:ascii="Arial" w:cs="Arial" w:eastAsia="Arial" w:hAnsi="Arial"/>
                <w:b/>
                <w:bCs/>
                <w:color w:val="ffffff"/>
                <w:sz w:val="16"/>
                <w:szCs w:val="16"/>
              </w:rPr>
              <w:t xml:space="preserve">Bank</w:t>
            </w:r>
          </w:p>
        </w:tc>
        <w:tc>
          <w:tcPr>
            <w:tcW w:type="dxa" w:w="1500"/>
            <w:shd w:fill="0f3460"/>
          </w:tcPr>
          <w:p>
            <w:pPr>
              <w:jc w:val="center"/>
            </w:pPr>
            <w:r>
              <w:rPr>
                <w:rFonts w:ascii="Arial" w:cs="Arial" w:eastAsia="Arial" w:hAnsi="Arial"/>
                <w:b/>
                <w:bCs/>
                <w:color w:val="ffffff"/>
                <w:sz w:val="16"/>
                <w:szCs w:val="16"/>
              </w:rPr>
              <w:t xml:space="preserve">Total</w:t>
            </w:r>
          </w:p>
        </w:tc>
        <w:tc>
          <w:tcPr>
            <w:tcW w:type="dxa" w:w="1500"/>
            <w:shd w:fill="0f3460"/>
          </w:tcPr>
          <w:p>
            <w:pPr>
              <w:jc w:val="center"/>
            </w:pPr>
            <w:r>
              <w:rPr>
                <w:rFonts w:ascii="Arial" w:cs="Arial" w:eastAsia="Arial" w:hAnsi="Arial"/>
                <w:b/>
                <w:bCs/>
                <w:color w:val="ffffff"/>
                <w:sz w:val="16"/>
                <w:szCs w:val="16"/>
              </w:rPr>
              <w:t xml:space="preserve">Voluntary</w:t>
            </w:r>
          </w:p>
        </w:tc>
        <w:tc>
          <w:tcPr>
            <w:tcW w:type="dxa" w:w="1500"/>
            <w:shd w:fill="0f3460"/>
          </w:tcPr>
          <w:p>
            <w:pPr>
              <w:jc w:val="center"/>
            </w:pPr>
            <w:r>
              <w:rPr>
                <w:rFonts w:ascii="Arial" w:cs="Arial" w:eastAsia="Arial" w:hAnsi="Arial"/>
                <w:b/>
                <w:bCs/>
                <w:color w:val="ffffff"/>
                <w:sz w:val="16"/>
                <w:szCs w:val="16"/>
              </w:rPr>
              <w:t xml:space="preserve">Involuntary</w:t>
            </w:r>
          </w:p>
        </w:tc>
        <w:tc>
          <w:tcPr>
            <w:tcW w:type="dxa" w:w="1500"/>
            <w:shd w:fill="0f3460"/>
          </w:tcPr>
          <w:p>
            <w:pPr>
              <w:jc w:val="center"/>
            </w:pPr>
            <w:r>
              <w:rPr>
                <w:rFonts w:ascii="Arial" w:cs="Arial" w:eastAsia="Arial" w:hAnsi="Arial"/>
                <w:b/>
                <w:bCs/>
                <w:color w:val="ffffff"/>
                <w:sz w:val="16"/>
                <w:szCs w:val="16"/>
              </w:rPr>
              <w:t xml:space="preserve">CA Vol.</w:t>
            </w:r>
          </w:p>
        </w:tc>
        <w:tc>
          <w:tcPr>
            <w:tcW w:type="dxa" w:w="1500"/>
            <w:shd w:fill="0f3460"/>
          </w:tcPr>
          <w:p>
            <w:pPr>
              <w:jc w:val="center"/>
            </w:pPr>
            <w:r>
              <w:rPr>
                <w:rFonts w:ascii="Arial" w:cs="Arial" w:eastAsia="Arial" w:hAnsi="Arial"/>
                <w:b/>
                <w:bCs/>
                <w:color w:val="ffffff"/>
                <w:sz w:val="16"/>
                <w:szCs w:val="16"/>
              </w:rPr>
              <w:t xml:space="preserve">US Vol.</w:t>
            </w:r>
          </w:p>
        </w:tc>
        <w:tc>
          <w:tcPr>
            <w:tcW w:type="dxa" w:w="1800"/>
            <w:shd w:fill="0f3460"/>
          </w:tcPr>
          <w:p>
            <w:pPr>
              <w:jc w:val="center"/>
            </w:pPr>
            <w:r>
              <w:rPr>
                <w:rFonts w:ascii="Arial" w:cs="Arial" w:eastAsia="Arial" w:hAnsi="Arial"/>
                <w:b/>
                <w:bCs/>
                <w:color w:val="ffffff"/>
                <w:sz w:val="16"/>
                <w:szCs w:val="16"/>
              </w:rPr>
              <w:t xml:space="preserve">FTEs</w:t>
            </w:r>
          </w:p>
        </w:tc>
      </w:tr>
      <w:tr>
        <w:tc>
          <w:tcPr>
            <w:tcW w:type="dxa" w:w="1500"/>
            <w:shd w:fill="fffbeb"/>
          </w:tcPr>
          <w:p>
            <w:pPr>
              <w:jc w:val="left"/>
            </w:pPr>
            <w:r>
              <w:rPr>
                <w:rFonts w:ascii="Arial" w:cs="Arial" w:eastAsia="Arial" w:hAnsi="Arial"/>
                <w:b/>
                <w:bCs/>
                <w:color w:val="374151"/>
                <w:sz w:val="18"/>
                <w:szCs w:val="18"/>
              </w:rPr>
              <w:t xml:space="preserve">BMO</w:t>
            </w:r>
          </w:p>
        </w:tc>
        <w:tc>
          <w:tcPr>
            <w:tcW w:type="dxa" w:w="1500"/>
            <w:shd w:fill="fffbeb"/>
          </w:tcPr>
          <w:p>
            <w:pPr>
              <w:jc w:val="center"/>
            </w:pPr>
            <w:r>
              <w:rPr>
                <w:rFonts w:ascii="Arial" w:cs="Arial" w:eastAsia="Arial" w:hAnsi="Arial"/>
                <w:b/>
                <w:bCs/>
                <w:color w:val="374151"/>
                <w:sz w:val="18"/>
                <w:szCs w:val="18"/>
              </w:rPr>
              <w:t xml:space="preserve">16.6%</w:t>
            </w:r>
          </w:p>
        </w:tc>
        <w:tc>
          <w:tcPr>
            <w:tcW w:type="dxa" w:w="1500"/>
            <w:shd w:fill="fffbeb"/>
          </w:tcPr>
          <w:p>
            <w:pPr>
              <w:jc w:val="center"/>
            </w:pPr>
            <w:r>
              <w:rPr>
                <w:rFonts w:ascii="Arial" w:cs="Arial" w:eastAsia="Arial" w:hAnsi="Arial"/>
                <w:b w:val="false"/>
                <w:bCs w:val="false"/>
                <w:color w:val="374151"/>
                <w:sz w:val="18"/>
                <w:szCs w:val="18"/>
              </w:rPr>
              <w:t xml:space="preserve">10.6%</w:t>
            </w:r>
          </w:p>
        </w:tc>
        <w:tc>
          <w:tcPr>
            <w:tcW w:type="dxa" w:w="1500"/>
            <w:shd w:fill="fffbeb"/>
          </w:tcPr>
          <w:p>
            <w:pPr>
              <w:jc w:val="center"/>
            </w:pPr>
            <w:r>
              <w:rPr>
                <w:rFonts w:ascii="Arial" w:cs="Arial" w:eastAsia="Arial" w:hAnsi="Arial"/>
                <w:b w:val="false"/>
                <w:bCs w:val="false"/>
                <w:color w:val="374151"/>
                <w:sz w:val="18"/>
                <w:szCs w:val="18"/>
              </w:rPr>
              <w:t xml:space="preserve">6.0%</w:t>
            </w:r>
          </w:p>
        </w:tc>
        <w:tc>
          <w:tcPr>
            <w:tcW w:type="dxa" w:w="1500"/>
            <w:shd w:fill="fffbeb"/>
          </w:tcPr>
          <w:p>
            <w:pPr>
              <w:jc w:val="center"/>
            </w:pPr>
            <w:r>
              <w:rPr>
                <w:rFonts w:ascii="Arial" w:cs="Arial" w:eastAsia="Arial" w:hAnsi="Arial"/>
                <w:b w:val="false"/>
                <w:bCs w:val="false"/>
                <w:color w:val="374151"/>
                <w:sz w:val="18"/>
                <w:szCs w:val="18"/>
              </w:rPr>
              <w:t xml:space="preserve">9.8%</w:t>
            </w:r>
          </w:p>
        </w:tc>
        <w:tc>
          <w:tcPr>
            <w:tcW w:type="dxa" w:w="1500"/>
            <w:shd w:fill="fef2f2"/>
          </w:tcPr>
          <w:p>
            <w:pPr>
              <w:jc w:val="center"/>
            </w:pPr>
            <w:r>
              <w:rPr>
                <w:rFonts w:ascii="Arial" w:cs="Arial" w:eastAsia="Arial" w:hAnsi="Arial"/>
                <w:b/>
                <w:bCs/>
                <w:color w:val="dc2626"/>
                <w:sz w:val="18"/>
                <w:szCs w:val="18"/>
              </w:rPr>
              <w:t xml:space="preserve">12.2%</w:t>
            </w:r>
          </w:p>
        </w:tc>
        <w:tc>
          <w:tcPr>
            <w:tcW w:type="dxa" w:w="1500"/>
            <w:shd w:fill="fffbeb"/>
          </w:tcPr>
          <w:p>
            <w:pPr>
              <w:jc w:val="center"/>
            </w:pPr>
            <w:r>
              <w:rPr>
                <w:rFonts w:ascii="Arial" w:cs="Arial" w:eastAsia="Arial" w:hAnsi="Arial"/>
                <w:b w:val="false"/>
                <w:bCs w:val="false"/>
                <w:color w:val="374151"/>
                <w:sz w:val="18"/>
                <w:szCs w:val="18"/>
              </w:rPr>
              <w:t xml:space="preserve">57,060</w:t>
            </w:r>
          </w:p>
        </w:tc>
      </w:tr>
      <w:tr>
        <w:tc>
          <w:tcPr>
            <w:tcW w:type="dxa" w:w="1500"/>
          </w:tcPr>
          <w:p>
            <w:pPr>
              <w:jc w:val="left"/>
            </w:pPr>
            <w:r>
              <w:rPr>
                <w:rFonts w:ascii="Arial" w:cs="Arial" w:eastAsia="Arial" w:hAnsi="Arial"/>
                <w:b w:val="false"/>
                <w:bCs w:val="false"/>
                <w:color w:val="374151"/>
                <w:sz w:val="18"/>
                <w:szCs w:val="18"/>
              </w:rPr>
              <w:t xml:space="preserve">RBC</w:t>
            </w:r>
          </w:p>
        </w:tc>
        <w:tc>
          <w:tcPr>
            <w:tcW w:type="dxa" w:w="1500"/>
          </w:tcPr>
          <w:p>
            <w:pPr>
              <w:jc w:val="center"/>
            </w:pPr>
            <w:r>
              <w:rPr>
                <w:rFonts w:ascii="Arial" w:cs="Arial" w:eastAsia="Arial" w:hAnsi="Arial"/>
                <w:b w:val="false"/>
                <w:bCs w:val="false"/>
                <w:color w:val="374151"/>
                <w:sz w:val="18"/>
                <w:szCs w:val="18"/>
              </w:rPr>
              <w:t xml:space="preserve">11.8%</w:t>
            </w:r>
          </w:p>
        </w:tc>
        <w:tc>
          <w:tcPr>
            <w:tcW w:type="dxa" w:w="1500"/>
          </w:tcPr>
          <w:p>
            <w:pPr>
              <w:jc w:val="center"/>
            </w:pPr>
            <w:r>
              <w:rPr>
                <w:rFonts w:ascii="Arial" w:cs="Arial" w:eastAsia="Arial" w:hAnsi="Arial"/>
                <w:b w:val="false"/>
                <w:bCs w:val="false"/>
                <w:color w:val="374151"/>
                <w:sz w:val="18"/>
                <w:szCs w:val="18"/>
              </w:rPr>
              <w:t xml:space="preserve">9.5%</w:t>
            </w:r>
          </w:p>
        </w:tc>
        <w:tc>
          <w:tcPr>
            <w:tcW w:type="dxa" w:w="1500"/>
          </w:tcPr>
          <w:p>
            <w:pPr>
              <w:jc w:val="center"/>
            </w:pPr>
            <w:r>
              <w:rPr>
                <w:rFonts w:ascii="Arial" w:cs="Arial" w:eastAsia="Arial" w:hAnsi="Arial"/>
                <w:b w:val="false"/>
                <w:bCs w:val="false"/>
                <w:color w:val="374151"/>
                <w:sz w:val="18"/>
                <w:szCs w:val="18"/>
              </w:rPr>
              <w:t xml:space="preserve">2.3%</w:t>
            </w:r>
          </w:p>
        </w:tc>
        <w:tc>
          <w:tcPr>
            <w:tcW w:type="dxa" w:w="1500"/>
          </w:tcPr>
          <w:p>
            <w:pPr>
              <w:jc w:val="center"/>
            </w:pPr>
            <w:r>
              <w:rPr>
                <w:rFonts w:ascii="Arial" w:cs="Arial" w:eastAsia="Arial" w:hAnsi="Arial"/>
                <w:b w:val="false"/>
                <w:bCs w:val="false"/>
                <w:color w:val="374151"/>
                <w:sz w:val="18"/>
                <w:szCs w:val="18"/>
              </w:rPr>
              <w:t xml:space="preserve">9.9%</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98,588</w:t>
            </w:r>
          </w:p>
        </w:tc>
      </w:tr>
      <w:tr>
        <w:tc>
          <w:tcPr>
            <w:tcW w:type="dxa" w:w="1500"/>
          </w:tcPr>
          <w:p>
            <w:pPr>
              <w:jc w:val="left"/>
            </w:pPr>
            <w:r>
              <w:rPr>
                <w:rFonts w:ascii="Arial" w:cs="Arial" w:eastAsia="Arial" w:hAnsi="Arial"/>
                <w:b w:val="false"/>
                <w:bCs w:val="false"/>
                <w:color w:val="374151"/>
                <w:sz w:val="18"/>
                <w:szCs w:val="18"/>
              </w:rPr>
              <w:t xml:space="preserve">TD</w:t>
            </w:r>
          </w:p>
        </w:tc>
        <w:tc>
          <w:tcPr>
            <w:tcW w:type="dxa" w:w="1500"/>
          </w:tcPr>
          <w:p>
            <w:pPr>
              <w:jc w:val="center"/>
            </w:pPr>
            <w:r>
              <w:rPr>
                <w:rFonts w:ascii="Arial" w:cs="Arial" w:eastAsia="Arial" w:hAnsi="Arial"/>
                <w:b w:val="false"/>
                <w:bCs w:val="false"/>
                <w:color w:val="374151"/>
                <w:sz w:val="18"/>
                <w:szCs w:val="18"/>
              </w:rPr>
              <w:t xml:space="preserve">15.0%</w:t>
            </w:r>
          </w:p>
        </w:tc>
        <w:tc>
          <w:tcPr>
            <w:tcW w:type="dxa" w:w="1500"/>
          </w:tcPr>
          <w:p>
            <w:pPr>
              <w:jc w:val="center"/>
            </w:pPr>
            <w:r>
              <w:rPr>
                <w:rFonts w:ascii="Arial" w:cs="Arial" w:eastAsia="Arial" w:hAnsi="Arial"/>
                <w:b w:val="false"/>
                <w:bCs w:val="false"/>
                <w:color w:val="374151"/>
                <w:sz w:val="18"/>
                <w:szCs w:val="18"/>
              </w:rPr>
              <w:t xml:space="preserve">~10.5%</w:t>
            </w:r>
          </w:p>
        </w:tc>
        <w:tc>
          <w:tcPr>
            <w:tcW w:type="dxa" w:w="1500"/>
          </w:tcPr>
          <w:p>
            <w:pPr>
              <w:jc w:val="center"/>
            </w:pPr>
            <w:r>
              <w:rPr>
                <w:rFonts w:ascii="Arial" w:cs="Arial" w:eastAsia="Arial" w:hAnsi="Arial"/>
                <w:b w:val="false"/>
                <w:bCs w:val="false"/>
                <w:color w:val="374151"/>
                <w:sz w:val="18"/>
                <w:szCs w:val="18"/>
              </w:rPr>
              <w:t xml:space="preserve">~3.6%</w:t>
            </w:r>
          </w:p>
        </w:tc>
        <w:tc>
          <w:tcPr>
            <w:tcW w:type="dxa" w:w="1500"/>
          </w:tcPr>
          <w:p>
            <w:pPr>
              <w:jc w:val="center"/>
            </w:pPr>
            <w:r>
              <w:rPr>
                <w:rFonts w:ascii="Arial" w:cs="Arial" w:eastAsia="Arial" w:hAnsi="Arial"/>
                <w:b w:val="false"/>
                <w:bCs w:val="false"/>
                <w:color w:val="374151"/>
                <w:sz w:val="18"/>
                <w:szCs w:val="18"/>
              </w:rPr>
              <w:t xml:space="preserve">10.1%</w:t>
            </w:r>
          </w:p>
        </w:tc>
        <w:tc>
          <w:tcPr>
            <w:tcW w:type="dxa" w:w="1500"/>
            <w:shd w:fill="fef2f2"/>
          </w:tcPr>
          <w:p>
            <w:pPr>
              <w:jc w:val="center"/>
            </w:pPr>
            <w:r>
              <w:rPr>
                <w:rFonts w:ascii="Arial" w:cs="Arial" w:eastAsia="Arial" w:hAnsi="Arial"/>
                <w:b w:val="false"/>
                <w:bCs w:val="false"/>
                <w:color w:val="dc2626"/>
                <w:sz w:val="18"/>
                <w:szCs w:val="18"/>
              </w:rPr>
              <w:t xml:space="preserve">11.4%</w:t>
            </w:r>
          </w:p>
        </w:tc>
        <w:tc>
          <w:tcPr>
            <w:tcW w:type="dxa" w:w="1500"/>
          </w:tcPr>
          <w:p>
            <w:pPr>
              <w:jc w:val="center"/>
            </w:pPr>
            <w:r>
              <w:rPr>
                <w:rFonts w:ascii="Arial" w:cs="Arial" w:eastAsia="Arial" w:hAnsi="Arial"/>
                <w:b w:val="false"/>
                <w:bCs w:val="false"/>
                <w:color w:val="374151"/>
                <w:sz w:val="18"/>
                <w:szCs w:val="18"/>
              </w:rPr>
              <w:t xml:space="preserve">103,150</w:t>
            </w:r>
          </w:p>
        </w:tc>
      </w:tr>
      <w:tr>
        <w:tc>
          <w:tcPr>
            <w:tcW w:type="dxa" w:w="1500"/>
          </w:tcPr>
          <w:p>
            <w:pPr>
              <w:jc w:val="left"/>
            </w:pPr>
            <w:r>
              <w:rPr>
                <w:rFonts w:ascii="Arial" w:cs="Arial" w:eastAsia="Arial" w:hAnsi="Arial"/>
                <w:b w:val="false"/>
                <w:bCs w:val="false"/>
                <w:color w:val="374151"/>
                <w:sz w:val="18"/>
                <w:szCs w:val="18"/>
              </w:rPr>
              <w:t xml:space="preserve">CIBC</w:t>
            </w:r>
          </w:p>
        </w:tc>
        <w:tc>
          <w:tcPr>
            <w:tcW w:type="dxa" w:w="1500"/>
          </w:tcPr>
          <w:p>
            <w:pPr>
              <w:jc w:val="center"/>
            </w:pPr>
            <w:r>
              <w:rPr>
                <w:rFonts w:ascii="Arial" w:cs="Arial" w:eastAsia="Arial" w:hAnsi="Arial"/>
                <w:b w:val="false"/>
                <w:bCs w:val="false"/>
                <w:color w:val="374151"/>
                <w:sz w:val="18"/>
                <w:szCs w:val="18"/>
              </w:rPr>
              <w:t xml:space="preserve">11.8%</w:t>
            </w:r>
          </w:p>
        </w:tc>
        <w:tc>
          <w:tcPr>
            <w:tcW w:type="dxa" w:w="1500"/>
            <w:shd w:fill="f0fdf4"/>
          </w:tcPr>
          <w:p>
            <w:pPr>
              <w:jc w:val="center"/>
            </w:pPr>
            <w:r>
              <w:rPr>
                <w:rFonts w:ascii="Arial" w:cs="Arial" w:eastAsia="Arial" w:hAnsi="Arial"/>
                <w:b w:val="false"/>
                <w:bCs w:val="false"/>
                <w:color w:val="16a34a"/>
                <w:sz w:val="18"/>
                <w:szCs w:val="18"/>
              </w:rPr>
              <w:t xml:space="preserve">7.7%</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48,000</w:t>
            </w:r>
          </w:p>
        </w:tc>
      </w:tr>
      <w:tr>
        <w:tc>
          <w:tcPr>
            <w:tcW w:type="dxa" w:w="1500"/>
          </w:tcPr>
          <w:p>
            <w:pPr>
              <w:jc w:val="left"/>
            </w:pPr>
            <w:r>
              <w:rPr>
                <w:rFonts w:ascii="Arial" w:cs="Arial" w:eastAsia="Arial" w:hAnsi="Arial"/>
                <w:b w:val="false"/>
                <w:bCs w:val="false"/>
                <w:color w:val="374151"/>
                <w:sz w:val="18"/>
                <w:szCs w:val="18"/>
              </w:rPr>
              <w:t xml:space="preserve">BNS</w:t>
            </w:r>
          </w:p>
        </w:tc>
        <w:tc>
          <w:tcPr>
            <w:tcW w:type="dxa" w:w="1500"/>
            <w:shd w:fill="fef2f2"/>
          </w:tcPr>
          <w:p>
            <w:pPr>
              <w:jc w:val="center"/>
            </w:pPr>
            <w:r>
              <w:rPr>
                <w:rFonts w:ascii="Arial" w:cs="Arial" w:eastAsia="Arial" w:hAnsi="Arial"/>
                <w:b/>
                <w:bCs/>
                <w:color w:val="dc2626"/>
                <w:sz w:val="18"/>
                <w:szCs w:val="18"/>
              </w:rPr>
              <w:t xml:space="preserve">17.5%</w:t>
            </w:r>
          </w:p>
        </w:tc>
        <w:tc>
          <w:tcPr>
            <w:tcW w:type="dxa" w:w="1500"/>
          </w:tcPr>
          <w:p>
            <w:pPr>
              <w:jc w:val="center"/>
            </w:pPr>
            <w:r>
              <w:rPr>
                <w:rFonts w:ascii="Arial" w:cs="Arial" w:eastAsia="Arial" w:hAnsi="Arial"/>
                <w:b w:val="false"/>
                <w:bCs w:val="false"/>
                <w:color w:val="374151"/>
                <w:sz w:val="18"/>
                <w:szCs w:val="18"/>
              </w:rPr>
              <w:t xml:space="preserve">10.0%</w:t>
            </w:r>
          </w:p>
        </w:tc>
        <w:tc>
          <w:tcPr>
            <w:tcW w:type="dxa" w:w="1500"/>
          </w:tcPr>
          <w:p>
            <w:pPr>
              <w:jc w:val="center"/>
            </w:pPr>
            <w:r>
              <w:rPr>
                <w:rFonts w:ascii="Arial" w:cs="Arial" w:eastAsia="Arial" w:hAnsi="Arial"/>
                <w:b w:val="false"/>
                <w:bCs w:val="false"/>
                <w:color w:val="374151"/>
                <w:sz w:val="18"/>
                <w:szCs w:val="18"/>
              </w:rPr>
              <w:t xml:space="preserve">~7.5%</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82,590</w:t>
            </w:r>
          </w:p>
        </w:tc>
      </w:tr>
      <w:tr>
        <w:tc>
          <w:tcPr>
            <w:tcW w:type="dxa" w:w="1500"/>
          </w:tcPr>
          <w:p>
            <w:pPr>
              <w:jc w:val="left"/>
            </w:pPr>
            <w:r>
              <w:rPr>
                <w:rFonts w:ascii="Arial" w:cs="Arial" w:eastAsia="Arial" w:hAnsi="Arial"/>
                <w:b w:val="false"/>
                <w:bCs w:val="false"/>
                <w:color w:val="374151"/>
                <w:sz w:val="18"/>
                <w:szCs w:val="18"/>
              </w:rPr>
              <w:t xml:space="preserve">NA</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31,303</w:t>
            </w:r>
          </w:p>
        </w:tc>
      </w:tr>
    </w:tbl>
    <w:p>
      <w:pPr>
        <w:spacing w:after="120"/>
      </w:pPr>
      <w:r>
        <w:rPr>
          <w:rFonts w:ascii="Arial" w:cs="Arial" w:eastAsia="Arial" w:hAnsi="Arial"/>
          <w:i/>
          <w:iCs/>
          <w:color w:val="9ca3af"/>
          <w:sz w:val="17"/>
          <w:szCs w:val="17"/>
        </w:rPr>
        <w:t xml:space="preserve">* RBC reports "International" (incl. US, UK, Other) voluntary at 7.7% but does not isolate US. Excludes City National Bank &amp; RBC Brewin Dolphin.</w:t>
      </w:r>
    </w:p>
    <w:p>
      <w:pPr>
        <w:pStyle w:val="Heading2"/>
        <w:spacing w:after="100" w:before="300"/>
      </w:pPr>
      <w:r>
        <w:rPr>
          <w:rFonts w:ascii="Arial" w:cs="Arial" w:eastAsia="Arial" w:hAnsi="Arial"/>
          <w:b/>
          <w:bCs/>
          <w:color w:val="0f3460"/>
          <w:sz w:val="26"/>
          <w:szCs w:val="26"/>
        </w:rPr>
        <w:t xml:space="preserve">2.2 Canada vs US Turnover — The Geographic Premium</w:t>
      </w:r>
    </w:p>
    <w:p>
      <w:pPr>
        <w:spacing w:after="120"/>
      </w:pPr>
      <w:r>
        <w:rPr>
          <w:rFonts w:ascii="Arial" w:cs="Arial" w:eastAsia="Arial" w:hAnsi="Arial"/>
          <w:color w:val="374151"/>
          <w:sz w:val="21"/>
          <w:szCs w:val="21"/>
        </w:rPr>
        <w:t xml:space="preserve">Where geographic splits are available (BMO and TD), US operations consistently show higher turnover across both voluntary and involuntary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shd w:fill="0f3460"/>
          </w:tcPr>
          <w:p>
            <w:pPr>
              <w:jc w:val="center"/>
            </w:pPr>
            <w:r>
              <w:rPr>
                <w:rFonts w:ascii="Arial" w:cs="Arial" w:eastAsia="Arial" w:hAnsi="Arial"/>
                <w:b/>
                <w:bCs/>
                <w:color w:val="ffffff"/>
                <w:sz w:val="16"/>
                <w:szCs w:val="16"/>
              </w:rPr>
              <w:t xml:space="preserve">Metric</w:t>
            </w:r>
          </w:p>
        </w:tc>
        <w:tc>
          <w:tcPr>
            <w:tcW w:type="dxa" w:w="1500"/>
            <w:shd w:fill="0f3460"/>
          </w:tcPr>
          <w:p>
            <w:pPr>
              <w:jc w:val="center"/>
            </w:pPr>
            <w:r>
              <w:rPr>
                <w:rFonts w:ascii="Arial" w:cs="Arial" w:eastAsia="Arial" w:hAnsi="Arial"/>
                <w:b/>
                <w:bCs/>
                <w:color w:val="ffffff"/>
                <w:sz w:val="16"/>
                <w:szCs w:val="16"/>
              </w:rPr>
              <w:t xml:space="preserve">BMO CA</w:t>
            </w:r>
          </w:p>
        </w:tc>
        <w:tc>
          <w:tcPr>
            <w:tcW w:type="dxa" w:w="1500"/>
            <w:shd w:fill="0f3460"/>
          </w:tcPr>
          <w:p>
            <w:pPr>
              <w:jc w:val="center"/>
            </w:pPr>
            <w:r>
              <w:rPr>
                <w:rFonts w:ascii="Arial" w:cs="Arial" w:eastAsia="Arial" w:hAnsi="Arial"/>
                <w:b/>
                <w:bCs/>
                <w:color w:val="ffffff"/>
                <w:sz w:val="16"/>
                <w:szCs w:val="16"/>
              </w:rPr>
              <w:t xml:space="preserve">BMO US</w:t>
            </w:r>
          </w:p>
        </w:tc>
        <w:tc>
          <w:tcPr>
            <w:tcW w:type="dxa" w:w="1500"/>
            <w:shd w:fill="0f3460"/>
          </w:tcPr>
          <w:p>
            <w:pPr>
              <w:jc w:val="center"/>
            </w:pPr>
            <w:r>
              <w:rPr>
                <w:rFonts w:ascii="Arial" w:cs="Arial" w:eastAsia="Arial" w:hAnsi="Arial"/>
                <w:b/>
                <w:bCs/>
                <w:color w:val="ffffff"/>
                <w:sz w:val="16"/>
                <w:szCs w:val="16"/>
              </w:rPr>
              <w:t xml:space="preserve">TD CA</w:t>
            </w:r>
          </w:p>
        </w:tc>
        <w:tc>
          <w:tcPr>
            <w:tcW w:type="dxa" w:w="1500"/>
            <w:shd w:fill="0f3460"/>
          </w:tcPr>
          <w:p>
            <w:pPr>
              <w:jc w:val="center"/>
            </w:pPr>
            <w:r>
              <w:rPr>
                <w:rFonts w:ascii="Arial" w:cs="Arial" w:eastAsia="Arial" w:hAnsi="Arial"/>
                <w:b/>
                <w:bCs/>
                <w:color w:val="ffffff"/>
                <w:sz w:val="16"/>
                <w:szCs w:val="16"/>
              </w:rPr>
              <w:t xml:space="preserve">TD US</w:t>
            </w:r>
          </w:p>
        </w:tc>
      </w:tr>
      <w:tr>
        <w:tc>
          <w:tcPr>
            <w:tcW w:type="dxa" w:w="1500"/>
          </w:tcPr>
          <w:p>
            <w:pPr>
              <w:jc w:val="left"/>
            </w:pPr>
            <w:r>
              <w:rPr>
                <w:rFonts w:ascii="Arial" w:cs="Arial" w:eastAsia="Arial" w:hAnsi="Arial"/>
                <w:b w:val="false"/>
                <w:bCs w:val="false"/>
                <w:color w:val="374151"/>
                <w:sz w:val="18"/>
                <w:szCs w:val="18"/>
              </w:rPr>
              <w:t xml:space="preserve">Voluntary Turnover</w:t>
            </w:r>
          </w:p>
        </w:tc>
        <w:tc>
          <w:tcPr>
            <w:tcW w:type="dxa" w:w="1500"/>
          </w:tcPr>
          <w:p>
            <w:pPr>
              <w:jc w:val="center"/>
            </w:pPr>
            <w:r>
              <w:rPr>
                <w:rFonts w:ascii="Arial" w:cs="Arial" w:eastAsia="Arial" w:hAnsi="Arial"/>
                <w:b w:val="false"/>
                <w:bCs w:val="false"/>
                <w:color w:val="374151"/>
                <w:sz w:val="18"/>
                <w:szCs w:val="18"/>
              </w:rPr>
              <w:t xml:space="preserve">9.8%</w:t>
            </w:r>
          </w:p>
        </w:tc>
        <w:tc>
          <w:tcPr>
            <w:tcW w:type="dxa" w:w="1500"/>
            <w:shd w:fill="fef2f2"/>
          </w:tcPr>
          <w:p>
            <w:pPr>
              <w:jc w:val="center"/>
            </w:pPr>
            <w:r>
              <w:rPr>
                <w:rFonts w:ascii="Arial" w:cs="Arial" w:eastAsia="Arial" w:hAnsi="Arial"/>
                <w:b w:val="false"/>
                <w:bCs w:val="false"/>
                <w:color w:val="dc2626"/>
                <w:sz w:val="18"/>
                <w:szCs w:val="18"/>
              </w:rPr>
              <w:t xml:space="preserve">12.2%</w:t>
            </w:r>
          </w:p>
        </w:tc>
        <w:tc>
          <w:tcPr>
            <w:tcW w:type="dxa" w:w="1500"/>
          </w:tcPr>
          <w:p>
            <w:pPr>
              <w:jc w:val="center"/>
            </w:pPr>
            <w:r>
              <w:rPr>
                <w:rFonts w:ascii="Arial" w:cs="Arial" w:eastAsia="Arial" w:hAnsi="Arial"/>
                <w:b w:val="false"/>
                <w:bCs w:val="false"/>
                <w:color w:val="374151"/>
                <w:sz w:val="18"/>
                <w:szCs w:val="18"/>
              </w:rPr>
              <w:t xml:space="preserve">10.1%</w:t>
            </w:r>
          </w:p>
        </w:tc>
        <w:tc>
          <w:tcPr>
            <w:tcW w:type="dxa" w:w="1500"/>
            <w:shd w:fill="fef2f2"/>
          </w:tcPr>
          <w:p>
            <w:pPr>
              <w:jc w:val="center"/>
            </w:pPr>
            <w:r>
              <w:rPr>
                <w:rFonts w:ascii="Arial" w:cs="Arial" w:eastAsia="Arial" w:hAnsi="Arial"/>
                <w:b w:val="false"/>
                <w:bCs w:val="false"/>
                <w:color w:val="dc2626"/>
                <w:sz w:val="18"/>
                <w:szCs w:val="18"/>
              </w:rPr>
              <w:t xml:space="preserve">11.4%</w:t>
            </w:r>
          </w:p>
        </w:tc>
      </w:tr>
      <w:tr>
        <w:tc>
          <w:tcPr>
            <w:tcW w:type="dxa" w:w="1500"/>
          </w:tcPr>
          <w:p>
            <w:pPr>
              <w:jc w:val="left"/>
            </w:pPr>
            <w:r>
              <w:rPr>
                <w:rFonts w:ascii="Arial" w:cs="Arial" w:eastAsia="Arial" w:hAnsi="Arial"/>
                <w:b w:val="false"/>
                <w:bCs w:val="false"/>
                <w:color w:val="374151"/>
                <w:sz w:val="18"/>
                <w:szCs w:val="18"/>
              </w:rPr>
              <w:t xml:space="preserve">Involuntary Turnover</w:t>
            </w:r>
          </w:p>
        </w:tc>
        <w:tc>
          <w:tcPr>
            <w:tcW w:type="dxa" w:w="1500"/>
          </w:tcPr>
          <w:p>
            <w:pPr>
              <w:jc w:val="center"/>
            </w:pPr>
            <w:r>
              <w:rPr>
                <w:rFonts w:ascii="Arial" w:cs="Arial" w:eastAsia="Arial" w:hAnsi="Arial"/>
                <w:b w:val="false"/>
                <w:bCs w:val="false"/>
                <w:color w:val="374151"/>
                <w:sz w:val="18"/>
                <w:szCs w:val="18"/>
              </w:rPr>
              <w:t xml:space="preserve">3.5%</w:t>
            </w:r>
          </w:p>
        </w:tc>
        <w:tc>
          <w:tcPr>
            <w:tcW w:type="dxa" w:w="1500"/>
            <w:shd w:fill="fef2f2"/>
          </w:tcPr>
          <w:p>
            <w:pPr>
              <w:jc w:val="center"/>
            </w:pPr>
            <w:r>
              <w:rPr>
                <w:rFonts w:ascii="Arial" w:cs="Arial" w:eastAsia="Arial" w:hAnsi="Arial"/>
                <w:b/>
                <w:bCs/>
                <w:color w:val="dc2626"/>
                <w:sz w:val="18"/>
                <w:szCs w:val="18"/>
              </w:rPr>
              <w:t xml:space="preserve">10.3%</w:t>
            </w:r>
          </w:p>
        </w:tc>
        <w:tc>
          <w:tcPr>
            <w:tcW w:type="dxa" w:w="1500"/>
          </w:tcPr>
          <w:p>
            <w:pPr>
              <w:jc w:val="center"/>
            </w:pPr>
            <w:r>
              <w:rPr>
                <w:rFonts w:ascii="Arial" w:cs="Arial" w:eastAsia="Arial" w:hAnsi="Arial"/>
                <w:b w:val="false"/>
                <w:bCs w:val="false"/>
                <w:color w:val="374151"/>
                <w:sz w:val="18"/>
                <w:szCs w:val="18"/>
              </w:rPr>
              <w:t xml:space="preserve">2.8%</w:t>
            </w:r>
          </w:p>
        </w:tc>
        <w:tc>
          <w:tcPr>
            <w:tcW w:type="dxa" w:w="1500"/>
            <w:shd w:fill="fef2f2"/>
          </w:tcPr>
          <w:p>
            <w:pPr>
              <w:jc w:val="center"/>
            </w:pPr>
            <w:r>
              <w:rPr>
                <w:rFonts w:ascii="Arial" w:cs="Arial" w:eastAsia="Arial" w:hAnsi="Arial"/>
                <w:b w:val="false"/>
                <w:bCs w:val="false"/>
                <w:color w:val="dc2626"/>
                <w:sz w:val="18"/>
                <w:szCs w:val="18"/>
              </w:rPr>
              <w:t xml:space="preserve">5.1%</w:t>
            </w:r>
          </w:p>
        </w:tc>
      </w:tr>
      <w:tr>
        <w:tc>
          <w:tcPr>
            <w:tcW w:type="dxa" w:w="1500"/>
          </w:tcPr>
          <w:p>
            <w:pPr>
              <w:jc w:val="left"/>
            </w:pPr>
            <w:r>
              <w:rPr>
                <w:rFonts w:ascii="Arial" w:cs="Arial" w:eastAsia="Arial" w:hAnsi="Arial"/>
                <w:b w:val="false"/>
                <w:bCs w:val="false"/>
                <w:color w:val="374151"/>
                <w:sz w:val="18"/>
                <w:szCs w:val="18"/>
              </w:rPr>
              <w:t xml:space="preserve">Total Turnover</w:t>
            </w:r>
          </w:p>
        </w:tc>
        <w:tc>
          <w:tcPr>
            <w:tcW w:type="dxa" w:w="1500"/>
          </w:tcPr>
          <w:p>
            <w:pPr>
              <w:jc w:val="center"/>
            </w:pPr>
            <w:r>
              <w:rPr>
                <w:rFonts w:ascii="Arial" w:cs="Arial" w:eastAsia="Arial" w:hAnsi="Arial"/>
                <w:b w:val="false"/>
                <w:bCs w:val="false"/>
                <w:color w:val="374151"/>
                <w:sz w:val="18"/>
                <w:szCs w:val="18"/>
              </w:rPr>
              <w:t xml:space="preserve">13.3%</w:t>
            </w:r>
          </w:p>
        </w:tc>
        <w:tc>
          <w:tcPr>
            <w:tcW w:type="dxa" w:w="1500"/>
            <w:shd w:fill="fef2f2"/>
          </w:tcPr>
          <w:p>
            <w:pPr>
              <w:jc w:val="center"/>
            </w:pPr>
            <w:r>
              <w:rPr>
                <w:rFonts w:ascii="Arial" w:cs="Arial" w:eastAsia="Arial" w:hAnsi="Arial"/>
                <w:b/>
                <w:bCs/>
                <w:color w:val="dc2626"/>
                <w:sz w:val="18"/>
                <w:szCs w:val="18"/>
              </w:rPr>
              <w:t xml:space="preserve">22.6%</w:t>
            </w:r>
          </w:p>
        </w:tc>
        <w:tc>
          <w:tcPr>
            <w:tcW w:type="dxa" w:w="1500"/>
          </w:tcPr>
          <w:p>
            <w:pPr>
              <w:jc w:val="center"/>
            </w:pPr>
            <w:r>
              <w:rPr>
                <w:rFonts w:ascii="Arial" w:cs="Arial" w:eastAsia="Arial" w:hAnsi="Arial"/>
                <w:b w:val="false"/>
                <w:bCs w:val="false"/>
                <w:color w:val="374151"/>
                <w:sz w:val="18"/>
                <w:szCs w:val="18"/>
              </w:rPr>
              <w:t xml:space="preserve">14.1%</w:t>
            </w:r>
          </w:p>
        </w:tc>
        <w:tc>
          <w:tcPr>
            <w:tcW w:type="dxa" w:w="1500"/>
            <w:shd w:fill="fef2f2"/>
          </w:tcPr>
          <w:p>
            <w:pPr>
              <w:jc w:val="center"/>
            </w:pPr>
            <w:r>
              <w:rPr>
                <w:rFonts w:ascii="Arial" w:cs="Arial" w:eastAsia="Arial" w:hAnsi="Arial"/>
                <w:b w:val="false"/>
                <w:bCs w:val="false"/>
                <w:color w:val="dc2626"/>
                <w:sz w:val="18"/>
                <w:szCs w:val="18"/>
              </w:rPr>
              <w:t xml:space="preserve">17.2%</w:t>
            </w:r>
          </w:p>
        </w:tc>
      </w:tr>
    </w:tbl>
    <w:p>
      <w:pPr>
        <w:spacing w:after="120"/>
      </w:pPr>
      <w:r>
        <w:rPr>
          <w:rFonts w:ascii="Arial" w:cs="Arial" w:eastAsia="Arial" w:hAnsi="Arial"/>
          <w:color w:val="374151"/>
          <w:sz w:val="21"/>
          <w:szCs w:val="21"/>
        </w:rPr>
        <w:t xml:space="preserve">BMO's US involuntary turnover (10.3%) is nearly 3x the Canadian rate (3.5%). BMO's total US turnover (22.6%) is 70% higher than its Canadian rate (13.3%). This represents a significant structural cost driver.</w:t>
      </w:r>
    </w:p>
    <w:p>
      <w:r>
        <w:br w:type="page"/>
      </w:r>
    </w:p>
    <w:p>
      <w:pPr>
        <w:pStyle w:val="Heading1"/>
        <w:spacing w:after="100" w:before="300"/>
      </w:pPr>
      <w:r>
        <w:rPr>
          <w:rFonts w:ascii="Arial" w:cs="Arial" w:eastAsia="Arial" w:hAnsi="Arial"/>
          <w:b/>
          <w:bCs/>
          <w:color w:val="0f3460"/>
          <w:sz w:val="32"/>
          <w:szCs w:val="32"/>
        </w:rPr>
        <w:t xml:space="preserve">3. US Revenue &amp; Workforce Exposure</w:t>
      </w:r>
    </w:p>
    <w:p>
      <w:pPr>
        <w:spacing w:after="120"/>
      </w:pPr>
      <w:r>
        <w:rPr>
          <w:rFonts w:ascii="Arial" w:cs="Arial" w:eastAsia="Arial" w:hAnsi="Arial"/>
          <w:color w:val="374151"/>
          <w:sz w:val="21"/>
          <w:szCs w:val="21"/>
        </w:rPr>
        <w:t xml:space="preserve">The Canadian Big 6 have dramatically different US exposure profiles, which has direct implications for support infrastructure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0f3460"/>
          </w:tcPr>
          <w:p>
            <w:pPr>
              <w:jc w:val="center"/>
            </w:pPr>
            <w:r>
              <w:rPr>
                <w:rFonts w:ascii="Arial" w:cs="Arial" w:eastAsia="Arial" w:hAnsi="Arial"/>
                <w:b/>
                <w:bCs/>
                <w:color w:val="ffffff"/>
                <w:sz w:val="16"/>
                <w:szCs w:val="16"/>
              </w:rPr>
              <w:t xml:space="preserve">Bank</w:t>
            </w:r>
          </w:p>
        </w:tc>
        <w:tc>
          <w:tcPr>
            <w:tcW w:type="dxa" w:w="1500"/>
            <w:shd w:fill="0f3460"/>
          </w:tcPr>
          <w:p>
            <w:pPr>
              <w:jc w:val="center"/>
            </w:pPr>
            <w:r>
              <w:rPr>
                <w:rFonts w:ascii="Arial" w:cs="Arial" w:eastAsia="Arial" w:hAnsi="Arial"/>
                <w:b/>
                <w:bCs/>
                <w:color w:val="ffffff"/>
                <w:sz w:val="16"/>
                <w:szCs w:val="16"/>
              </w:rPr>
              <w:t xml:space="preserve">US Employees</w:t>
            </w:r>
          </w:p>
        </w:tc>
        <w:tc>
          <w:tcPr>
            <w:tcW w:type="dxa" w:w="1500"/>
            <w:shd w:fill="0f3460"/>
          </w:tcPr>
          <w:p>
            <w:pPr>
              <w:jc w:val="center"/>
            </w:pPr>
            <w:r>
              <w:rPr>
                <w:rFonts w:ascii="Arial" w:cs="Arial" w:eastAsia="Arial" w:hAnsi="Arial"/>
                <w:b/>
                <w:bCs/>
                <w:color w:val="ffffff"/>
                <w:sz w:val="16"/>
                <w:szCs w:val="16"/>
              </w:rPr>
              <w:t xml:space="preserve">US % Workforce</w:t>
            </w:r>
          </w:p>
        </w:tc>
        <w:tc>
          <w:tcPr>
            <w:tcW w:type="dxa" w:w="1800"/>
            <w:shd w:fill="0f3460"/>
          </w:tcPr>
          <w:p>
            <w:pPr>
              <w:jc w:val="center"/>
            </w:pPr>
            <w:r>
              <w:rPr>
                <w:rFonts w:ascii="Arial" w:cs="Arial" w:eastAsia="Arial" w:hAnsi="Arial"/>
                <w:b/>
                <w:bCs/>
                <w:color w:val="ffffff"/>
                <w:sz w:val="16"/>
                <w:szCs w:val="16"/>
              </w:rPr>
              <w:t xml:space="preserve">Est. US Earnings %</w:t>
            </w:r>
          </w:p>
        </w:tc>
        <w:tc>
          <w:tcPr>
            <w:tcW w:type="dxa" w:w="3000"/>
            <w:shd w:fill="0f3460"/>
          </w:tcPr>
          <w:p>
            <w:pPr>
              <w:jc w:val="center"/>
            </w:pPr>
            <w:r>
              <w:rPr>
                <w:rFonts w:ascii="Arial" w:cs="Arial" w:eastAsia="Arial" w:hAnsi="Arial"/>
                <w:b/>
                <w:bCs/>
                <w:color w:val="ffffff"/>
                <w:sz w:val="16"/>
                <w:szCs w:val="16"/>
              </w:rPr>
              <w:t xml:space="preserve">Primary US Presence</w:t>
            </w:r>
          </w:p>
        </w:tc>
      </w:tr>
      <w:tr>
        <w:tc>
          <w:tcPr>
            <w:tcW w:type="dxa" w:w="1500"/>
            <w:shd w:fill="fffbeb"/>
          </w:tcPr>
          <w:p>
            <w:pPr>
              <w:jc w:val="center"/>
            </w:pPr>
            <w:r>
              <w:rPr>
                <w:rFonts w:ascii="Arial" w:cs="Arial" w:eastAsia="Arial" w:hAnsi="Arial"/>
                <w:b/>
                <w:bCs/>
                <w:color w:val="374151"/>
                <w:sz w:val="18"/>
                <w:szCs w:val="18"/>
              </w:rPr>
              <w:t xml:space="preserve">BMO</w:t>
            </w:r>
          </w:p>
        </w:tc>
        <w:tc>
          <w:tcPr>
            <w:tcW w:type="dxa" w:w="1500"/>
            <w:shd w:fill="fffbeb"/>
          </w:tcPr>
          <w:p>
            <w:pPr>
              <w:jc w:val="center"/>
            </w:pPr>
            <w:r>
              <w:rPr>
                <w:rFonts w:ascii="Arial" w:cs="Arial" w:eastAsia="Arial" w:hAnsi="Arial"/>
                <w:b w:val="false"/>
                <w:bCs w:val="false"/>
                <w:color w:val="374151"/>
                <w:sz w:val="18"/>
                <w:szCs w:val="18"/>
              </w:rPr>
              <w:t xml:space="preserve">19,621</w:t>
            </w:r>
          </w:p>
        </w:tc>
        <w:tc>
          <w:tcPr>
            <w:tcW w:type="dxa" w:w="1500"/>
            <w:shd w:fill="fffbeb"/>
          </w:tcPr>
          <w:p>
            <w:pPr>
              <w:jc w:val="center"/>
            </w:pPr>
            <w:r>
              <w:rPr>
                <w:rFonts w:ascii="Arial" w:cs="Arial" w:eastAsia="Arial" w:hAnsi="Arial"/>
                <w:b/>
                <w:bCs/>
                <w:color w:val="374151"/>
                <w:sz w:val="18"/>
                <w:szCs w:val="18"/>
              </w:rPr>
              <w:t xml:space="preserve">34.4%</w:t>
            </w:r>
          </w:p>
        </w:tc>
        <w:tc>
          <w:tcPr>
            <w:tcW w:type="dxa" w:w="1500"/>
            <w:shd w:fill="fef2f2"/>
          </w:tcPr>
          <w:p>
            <w:pPr>
              <w:jc w:val="center"/>
            </w:pPr>
            <w:r>
              <w:rPr>
                <w:rFonts w:ascii="Arial" w:cs="Arial" w:eastAsia="Arial" w:hAnsi="Arial"/>
                <w:b/>
                <w:bCs/>
                <w:color w:val="dc2626"/>
                <w:sz w:val="18"/>
                <w:szCs w:val="18"/>
              </w:rPr>
              <w:t xml:space="preserve">~30-35%</w:t>
            </w:r>
          </w:p>
        </w:tc>
        <w:tc>
          <w:tcPr>
            <w:tcW w:type="dxa" w:w="1500"/>
            <w:shd w:fill="fffbeb"/>
          </w:tcPr>
          <w:p>
            <w:pPr>
              <w:jc w:val="left"/>
            </w:pPr>
            <w:r>
              <w:rPr>
                <w:rFonts w:ascii="Arial" w:cs="Arial" w:eastAsia="Arial" w:hAnsi="Arial"/>
                <w:b w:val="false"/>
                <w:bCs w:val="false"/>
                <w:color w:val="374151"/>
                <w:sz w:val="18"/>
                <w:szCs w:val="18"/>
              </w:rPr>
              <w:t xml:space="preserve">Full retail (Bank of the West), US P&amp;C segment</w:t>
            </w:r>
          </w:p>
        </w:tc>
      </w:tr>
      <w:tr>
        <w:tc>
          <w:tcPr>
            <w:tcW w:type="dxa" w:w="1500"/>
          </w:tcPr>
          <w:p>
            <w:pPr>
              <w:jc w:val="center"/>
            </w:pPr>
            <w:r>
              <w:rPr>
                <w:rFonts w:ascii="Arial" w:cs="Arial" w:eastAsia="Arial" w:hAnsi="Arial"/>
                <w:b w:val="false"/>
                <w:bCs w:val="false"/>
                <w:color w:val="374151"/>
                <w:sz w:val="18"/>
                <w:szCs w:val="18"/>
              </w:rPr>
              <w:t xml:space="preserve">TD</w:t>
            </w:r>
          </w:p>
        </w:tc>
        <w:tc>
          <w:tcPr>
            <w:tcW w:type="dxa" w:w="1500"/>
          </w:tcPr>
          <w:p>
            <w:pPr>
              <w:jc w:val="center"/>
            </w:pPr>
            <w:r>
              <w:rPr>
                <w:rFonts w:ascii="Arial" w:cs="Arial" w:eastAsia="Arial" w:hAnsi="Arial"/>
                <w:b w:val="false"/>
                <w:bCs w:val="false"/>
                <w:color w:val="374151"/>
                <w:sz w:val="18"/>
                <w:szCs w:val="18"/>
              </w:rPr>
              <w:t xml:space="preserve">31,054</w:t>
            </w:r>
          </w:p>
        </w:tc>
        <w:tc>
          <w:tcPr>
            <w:tcW w:type="dxa" w:w="1500"/>
          </w:tcPr>
          <w:p>
            <w:pPr>
              <w:jc w:val="center"/>
            </w:pPr>
            <w:r>
              <w:rPr>
                <w:rFonts w:ascii="Arial" w:cs="Arial" w:eastAsia="Arial" w:hAnsi="Arial"/>
                <w:b/>
                <w:bCs/>
                <w:color w:val="374151"/>
                <w:sz w:val="18"/>
                <w:szCs w:val="18"/>
              </w:rPr>
              <w:t xml:space="preserve">30.1%</w:t>
            </w:r>
          </w:p>
        </w:tc>
        <w:tc>
          <w:tcPr>
            <w:tcW w:type="dxa" w:w="1500"/>
          </w:tcPr>
          <w:p>
            <w:pPr>
              <w:jc w:val="center"/>
            </w:pPr>
            <w:r>
              <w:rPr>
                <w:rFonts w:ascii="Arial" w:cs="Arial" w:eastAsia="Arial" w:hAnsi="Arial"/>
                <w:b w:val="false"/>
                <w:bCs w:val="false"/>
                <w:color w:val="dc2626"/>
                <w:sz w:val="18"/>
                <w:szCs w:val="18"/>
              </w:rPr>
              <w:t xml:space="preserve">~25-30%</w:t>
            </w:r>
          </w:p>
        </w:tc>
        <w:tc>
          <w:tcPr>
            <w:tcW w:type="dxa" w:w="1500"/>
          </w:tcPr>
          <w:p>
            <w:pPr>
              <w:jc w:val="left"/>
            </w:pPr>
            <w:r>
              <w:rPr>
                <w:rFonts w:ascii="Arial" w:cs="Arial" w:eastAsia="Arial" w:hAnsi="Arial"/>
                <w:b w:val="false"/>
                <w:bCs w:val="false"/>
                <w:color w:val="374151"/>
                <w:sz w:val="18"/>
                <w:szCs w:val="18"/>
              </w:rPr>
              <w:t xml:space="preserve">TD Bank N.A. (1,171+ branches, 16 states)</w:t>
            </w:r>
          </w:p>
        </w:tc>
      </w:tr>
      <w:tr>
        <w:tc>
          <w:tcPr>
            <w:tcW w:type="dxa" w:w="1500"/>
          </w:tcPr>
          <w:p>
            <w:pPr>
              <w:jc w:val="center"/>
            </w:pPr>
            <w:r>
              <w:rPr>
                <w:rFonts w:ascii="Arial" w:cs="Arial" w:eastAsia="Arial" w:hAnsi="Arial"/>
                <w:b w:val="false"/>
                <w:bCs w:val="false"/>
                <w:color w:val="374151"/>
                <w:sz w:val="18"/>
                <w:szCs w:val="18"/>
              </w:rPr>
              <w:t xml:space="preserve">RBC</w:t>
            </w:r>
          </w:p>
        </w:tc>
        <w:tc>
          <w:tcPr>
            <w:tcW w:type="dxa" w:w="1500"/>
          </w:tcPr>
          <w:p>
            <w:pPr>
              <w:jc w:val="center"/>
            </w:pPr>
            <w:r>
              <w:rPr>
                <w:rFonts w:ascii="Arial" w:cs="Arial" w:eastAsia="Arial" w:hAnsi="Arial"/>
                <w:b w:val="false"/>
                <w:bCs w:val="false"/>
                <w:color w:val="374151"/>
                <w:sz w:val="18"/>
                <w:szCs w:val="18"/>
              </w:rPr>
              <w:t xml:space="preserve">16,101</w:t>
            </w:r>
          </w:p>
        </w:tc>
        <w:tc>
          <w:tcPr>
            <w:tcW w:type="dxa" w:w="1500"/>
          </w:tcPr>
          <w:p>
            <w:pPr>
              <w:jc w:val="center"/>
            </w:pPr>
            <w:r>
              <w:rPr>
                <w:rFonts w:ascii="Arial" w:cs="Arial" w:eastAsia="Arial" w:hAnsi="Arial"/>
                <w:b w:val="false"/>
                <w:bCs w:val="false"/>
                <w:color w:val="374151"/>
                <w:sz w:val="18"/>
                <w:szCs w:val="18"/>
              </w:rPr>
              <w:t xml:space="preserve">16.3%</w:t>
            </w:r>
          </w:p>
        </w:tc>
        <w:tc>
          <w:tcPr>
            <w:tcW w:type="dxa" w:w="1500"/>
          </w:tcPr>
          <w:p>
            <w:pPr>
              <w:jc w:val="center"/>
            </w:pPr>
            <w:r>
              <w:rPr>
                <w:rFonts w:ascii="Arial" w:cs="Arial" w:eastAsia="Arial" w:hAnsi="Arial"/>
                <w:b w:val="false"/>
                <w:bCs w:val="false"/>
                <w:color w:val="374151"/>
                <w:sz w:val="18"/>
                <w:szCs w:val="18"/>
              </w:rPr>
              <w:t xml:space="preserve">~10-15%</w:t>
            </w:r>
          </w:p>
        </w:tc>
        <w:tc>
          <w:tcPr>
            <w:tcW w:type="dxa" w:w="1500"/>
          </w:tcPr>
          <w:p>
            <w:pPr>
              <w:jc w:val="left"/>
            </w:pPr>
            <w:r>
              <w:rPr>
                <w:rFonts w:ascii="Arial" w:cs="Arial" w:eastAsia="Arial" w:hAnsi="Arial"/>
                <w:b w:val="false"/>
                <w:bCs w:val="false"/>
                <w:color w:val="374151"/>
                <w:sz w:val="18"/>
                <w:szCs w:val="18"/>
              </w:rPr>
              <w:t xml:space="preserve">City National Bank, US wealth management</w:t>
            </w:r>
          </w:p>
        </w:tc>
      </w:tr>
      <w:tr>
        <w:tc>
          <w:tcPr>
            <w:tcW w:type="dxa" w:w="1500"/>
          </w:tcPr>
          <w:p>
            <w:pPr>
              <w:jc w:val="center"/>
            </w:pPr>
            <w:r>
              <w:rPr>
                <w:rFonts w:ascii="Arial" w:cs="Arial" w:eastAsia="Arial" w:hAnsi="Arial"/>
                <w:b w:val="false"/>
                <w:bCs w:val="false"/>
                <w:color w:val="374151"/>
                <w:sz w:val="18"/>
                <w:szCs w:val="18"/>
              </w:rPr>
              <w:t xml:space="preserve">CIBC</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~7%</w:t>
            </w:r>
          </w:p>
        </w:tc>
        <w:tc>
          <w:tcPr>
            <w:tcW w:type="dxa" w:w="1500"/>
          </w:tcPr>
          <w:p>
            <w:pPr>
              <w:jc w:val="left"/>
            </w:pPr>
            <w:r>
              <w:rPr>
                <w:rFonts w:ascii="Arial" w:cs="Arial" w:eastAsia="Arial" w:hAnsi="Arial"/>
                <w:b w:val="false"/>
                <w:bCs w:val="false"/>
                <w:color w:val="374151"/>
                <w:sz w:val="18"/>
                <w:szCs w:val="18"/>
              </w:rPr>
              <w:t xml:space="preserve">US Commercial Banking &amp; Wealth Mgmt</w:t>
            </w:r>
          </w:p>
        </w:tc>
      </w:tr>
      <w:tr>
        <w:tc>
          <w:tcPr>
            <w:tcW w:type="dxa" w:w="1500"/>
          </w:tcPr>
          <w:p>
            <w:pPr>
              <w:jc w:val="center"/>
            </w:pPr>
            <w:r>
              <w:rPr>
                <w:rFonts w:ascii="Arial" w:cs="Arial" w:eastAsia="Arial" w:hAnsi="Arial"/>
                <w:b w:val="false"/>
                <w:bCs w:val="false"/>
                <w:color w:val="374151"/>
                <w:sz w:val="18"/>
                <w:szCs w:val="18"/>
              </w:rPr>
              <w:t xml:space="preserve">BNS</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N/D</w:t>
            </w:r>
          </w:p>
        </w:tc>
        <w:tc>
          <w:tcPr>
            <w:tcW w:type="dxa" w:w="1500"/>
          </w:tcPr>
          <w:p>
            <w:pPr>
              <w:jc w:val="center"/>
            </w:pPr>
            <w:r>
              <w:rPr>
                <w:rFonts w:ascii="Arial" w:cs="Arial" w:eastAsia="Arial" w:hAnsi="Arial"/>
                <w:b w:val="false"/>
                <w:bCs w:val="false"/>
                <w:color w:val="374151"/>
                <w:sz w:val="18"/>
                <w:szCs w:val="18"/>
              </w:rPr>
              <w:t xml:space="preserve">~3-5%</w:t>
            </w:r>
          </w:p>
        </w:tc>
        <w:tc>
          <w:tcPr>
            <w:tcW w:type="dxa" w:w="1500"/>
          </w:tcPr>
          <w:p>
            <w:pPr>
              <w:jc w:val="left"/>
            </w:pPr>
            <w:r>
              <w:rPr>
                <w:rFonts w:ascii="Arial" w:cs="Arial" w:eastAsia="Arial" w:hAnsi="Arial"/>
                <w:b w:val="false"/>
                <w:bCs w:val="false"/>
                <w:color w:val="374151"/>
                <w:sz w:val="18"/>
                <w:szCs w:val="18"/>
              </w:rPr>
              <w:t xml:space="preserve">Limited US; International = LatAm/Caribbean</w:t>
            </w:r>
          </w:p>
        </w:tc>
      </w:tr>
      <w:tr>
        <w:tc>
          <w:tcPr>
            <w:tcW w:type="dxa" w:w="1500"/>
          </w:tcPr>
          <w:p>
            <w:pPr>
              <w:jc w:val="center"/>
            </w:pPr>
            <w:r>
              <w:rPr>
                <w:rFonts w:ascii="Arial" w:cs="Arial" w:eastAsia="Arial" w:hAnsi="Arial"/>
                <w:b w:val="false"/>
                <w:bCs w:val="false"/>
                <w:color w:val="374151"/>
                <w:sz w:val="18"/>
                <w:szCs w:val="18"/>
              </w:rPr>
              <w:t xml:space="preserve">NA</w:t>
            </w:r>
          </w:p>
        </w:tc>
        <w:tc>
          <w:tcPr>
            <w:tcW w:type="dxa" w:w="1500"/>
          </w:tcPr>
          <w:p>
            <w:pPr>
              <w:jc w:val="center"/>
            </w:pPr>
            <w:r>
              <w:rPr>
                <w:rFonts w:ascii="Arial" w:cs="Arial" w:eastAsia="Arial" w:hAnsi="Arial"/>
                <w:b w:val="false"/>
                <w:bCs w:val="false"/>
                <w:color w:val="374151"/>
                <w:sz w:val="18"/>
                <w:szCs w:val="18"/>
              </w:rPr>
              <w:t xml:space="preserve">~minimal</w:t>
            </w:r>
          </w:p>
        </w:tc>
        <w:tc>
          <w:tcPr>
            <w:tcW w:type="dxa" w:w="1500"/>
          </w:tcPr>
          <w:p>
            <w:pPr>
              <w:jc w:val="center"/>
            </w:pPr>
            <w:r>
              <w:rPr>
                <w:rFonts w:ascii="Arial" w:cs="Arial" w:eastAsia="Arial" w:hAnsi="Arial"/>
                <w:b w:val="false"/>
                <w:bCs w:val="false"/>
                <w:color w:val="374151"/>
                <w:sz w:val="18"/>
                <w:szCs w:val="18"/>
              </w:rPr>
              <w:t xml:space="preserve">&lt;1%</w:t>
            </w:r>
          </w:p>
        </w:tc>
        <w:tc>
          <w:tcPr>
            <w:tcW w:type="dxa" w:w="1500"/>
          </w:tcPr>
          <w:p>
            <w:pPr>
              <w:jc w:val="center"/>
            </w:pPr>
            <w:r>
              <w:rPr>
                <w:rFonts w:ascii="Arial" w:cs="Arial" w:eastAsia="Arial" w:hAnsi="Arial"/>
                <w:b w:val="false"/>
                <w:bCs w:val="false"/>
                <w:color w:val="374151"/>
                <w:sz w:val="18"/>
                <w:szCs w:val="18"/>
              </w:rPr>
              <w:t xml:space="preserve">&lt;2%</w:t>
            </w:r>
          </w:p>
        </w:tc>
        <w:tc>
          <w:tcPr>
            <w:tcW w:type="dxa" w:w="1500"/>
          </w:tcPr>
          <w:p>
            <w:pPr>
              <w:jc w:val="left"/>
            </w:pPr>
            <w:r>
              <w:rPr>
                <w:rFonts w:ascii="Arial" w:cs="Arial" w:eastAsia="Arial" w:hAnsi="Arial"/>
                <w:b w:val="false"/>
                <w:bCs w:val="false"/>
                <w:color w:val="374151"/>
                <w:sz w:val="18"/>
                <w:szCs w:val="18"/>
              </w:rPr>
              <w:t xml:space="preserve">4 branches in Florida; predominantly domestic</w:t>
            </w:r>
          </w:p>
        </w:tc>
      </w:tr>
    </w:tbl>
    <w:p>
      <w:r>
        <w:br w:type="page"/>
      </w:r>
    </w:p>
    <w:p>
      <w:pPr>
        <w:pStyle w:val="Heading1"/>
        <w:spacing w:after="100" w:before="300"/>
      </w:pPr>
      <w:r>
        <w:rPr>
          <w:rFonts w:ascii="Arial" w:cs="Arial" w:eastAsia="Arial" w:hAnsi="Arial"/>
          <w:b/>
          <w:bCs/>
          <w:color w:val="0f3460"/>
          <w:sz w:val="32"/>
          <w:szCs w:val="32"/>
        </w:rPr>
        <w:t xml:space="preserve">4. The US Cost-to-Serve Thesis</w:t>
      </w:r>
    </w:p>
    <w:p>
      <w:pPr>
        <w:spacing w:after="120"/>
      </w:pPr>
      <w:r>
        <w:rPr>
          <w:rFonts w:ascii="Arial" w:cs="Arial" w:eastAsia="Arial" w:hAnsi="Arial"/>
          <w:b/>
          <w:bCs/>
          <w:color w:val="374151"/>
          <w:sz w:val="23"/>
          <w:szCs w:val="23"/>
        </w:rPr>
        <w:t xml:space="preserve">This is potentially a stronger explanatory variable for BMO's higher TOCA ratio than pure organizational bloat.</w:t>
      </w:r>
    </w:p>
    <w:p>
      <w:pPr>
        <w:spacing w:after="120"/>
      </w:pPr>
      <w:r>
        <w:rPr>
          <w:rFonts w:ascii="Arial" w:cs="Arial" w:eastAsia="Arial" w:hAnsi="Arial"/>
          <w:color w:val="374151"/>
          <w:sz w:val="21"/>
          <w:szCs w:val="21"/>
        </w:rPr>
        <w:t xml:space="preserve">If approximately 30-35% of BMO's business is in the US, and US operations require 1.3-1.5x the compliance and support infrastructure per revenue dollar compared to Canadian operations, that alone could explain a significant portion of the TOCA gap versus peers like RBC, CIBC, and National Bank who have minimal US retail banking exposure.</w:t>
      </w:r>
    </w:p>
    <w:p>
      <w:pPr>
        <w:spacing w:after="120"/>
      </w:pPr>
      <w:r>
        <w:rPr>
          <w:rFonts w:ascii="Arial" w:cs="Arial" w:eastAsia="Arial" w:hAnsi="Arial"/>
          <w:color w:val="374151"/>
          <w:sz w:val="21"/>
          <w:szCs w:val="21"/>
        </w:rPr>
        <w:t xml:space="preserve">BMO and TD — the two banks with the largest US footprints — face a compounding set of structural cost drivers:</w:t>
      </w:r>
    </w:p>
    <w:p>
      <w:pPr>
        <w:pStyle w:val="Heading3"/>
        <w:spacing w:after="100" w:before="300"/>
      </w:pPr>
      <w:r>
        <w:rPr>
          <w:rFonts w:ascii="Arial" w:cs="Arial" w:eastAsia="Arial" w:hAnsi="Arial"/>
          <w:b/>
          <w:bCs/>
          <w:color w:val="0f3460"/>
          <w:sz w:val="22"/>
          <w:szCs w:val="22"/>
        </w:rPr>
        <w:t xml:space="preserve">4.1 Regulatory Overhead</w:t>
      </w:r>
    </w:p>
    <w:p>
      <w:pPr>
        <w:spacing w:after="120"/>
      </w:pPr>
      <w:r>
        <w:rPr>
          <w:rFonts w:ascii="Arial" w:cs="Arial" w:eastAsia="Arial" w:hAnsi="Arial"/>
          <w:color w:val="374151"/>
          <w:sz w:val="21"/>
          <w:szCs w:val="21"/>
        </w:rPr>
        <w:t xml:space="preserve">US regulatory compliance costs (Dodd-Frank, CFPB, OCC, FDIC, state-level regulations, BSA/AML) are significantly more prescriptive than OSFI/Canadian regulation. Foreign banks with &gt;$100B in US assets (BMO and TD both qualify) must maintain a US Intermediate Holding Company (IHC) with its own capital, liquidity, and stress testing requirements.</w:t>
      </w:r>
    </w:p>
    <w:p>
      <w:pPr>
        <w:pStyle w:val="Heading3"/>
        <w:spacing w:after="100" w:before="300"/>
      </w:pPr>
      <w:r>
        <w:rPr>
          <w:rFonts w:ascii="Arial" w:cs="Arial" w:eastAsia="Arial" w:hAnsi="Arial"/>
          <w:b/>
          <w:bCs/>
          <w:color w:val="0f3460"/>
          <w:sz w:val="22"/>
          <w:szCs w:val="22"/>
        </w:rPr>
        <w:t xml:space="preserve">4.2 Higher US Voluntary Turnover</w:t>
      </w:r>
    </w:p>
    <w:p>
      <w:pPr>
        <w:spacing w:after="120"/>
      </w:pPr>
      <w:r>
        <w:rPr>
          <w:rFonts w:ascii="Arial" w:cs="Arial" w:eastAsia="Arial" w:hAnsi="Arial"/>
          <w:color w:val="374151"/>
          <w:sz w:val="21"/>
          <w:szCs w:val="21"/>
        </w:rPr>
        <w:t xml:space="preserve">BMO data shows US voluntary turnover at 12.2% vs 9.8% in Canada — a 24% premium. TD shows a similar pattern: 11.4% US vs 10.1% Canada. Higher turnover drives recruiting costs, training investment, productivity loss during ramp-up periods, and knowledge attrition.</w:t>
      </w:r>
    </w:p>
    <w:p>
      <w:pPr>
        <w:pStyle w:val="Heading3"/>
        <w:spacing w:after="100" w:before="300"/>
      </w:pPr>
      <w:r>
        <w:rPr>
          <w:rFonts w:ascii="Arial" w:cs="Arial" w:eastAsia="Arial" w:hAnsi="Arial"/>
          <w:b/>
          <w:bCs/>
          <w:color w:val="0f3460"/>
          <w:sz w:val="22"/>
          <w:szCs w:val="22"/>
        </w:rPr>
        <w:t xml:space="preserve">4.3 US Compensation Premiums</w:t>
      </w:r>
    </w:p>
    <w:p>
      <w:pPr>
        <w:spacing w:after="120"/>
      </w:pPr>
      <w:r>
        <w:rPr>
          <w:rFonts w:ascii="Arial" w:cs="Arial" w:eastAsia="Arial" w:hAnsi="Arial"/>
          <w:color w:val="374151"/>
          <w:sz w:val="21"/>
          <w:szCs w:val="21"/>
        </w:rPr>
        <w:t xml:space="preserve">US banking salaries run materially higher than Canadian equivalents, especially in technology and compliance roles. This compounds the cost of maintaining the duplicate infrastructure that US regulations require.</w:t>
      </w:r>
    </w:p>
    <w:p>
      <w:pPr>
        <w:pStyle w:val="Heading3"/>
        <w:spacing w:after="100" w:before="300"/>
      </w:pPr>
      <w:r>
        <w:rPr>
          <w:rFonts w:ascii="Arial" w:cs="Arial" w:eastAsia="Arial" w:hAnsi="Arial"/>
          <w:b/>
          <w:bCs/>
          <w:color w:val="0f3460"/>
          <w:sz w:val="22"/>
          <w:szCs w:val="22"/>
        </w:rPr>
        <w:t xml:space="preserve">4.4 Duplicate Infrastructure</w:t>
      </w:r>
    </w:p>
    <w:p>
      <w:pPr>
        <w:spacing w:after="120"/>
      </w:pPr>
      <w:r>
        <w:rPr>
          <w:rFonts w:ascii="Arial" w:cs="Arial" w:eastAsia="Arial" w:hAnsi="Arial"/>
          <w:color w:val="374151"/>
          <w:sz w:val="21"/>
          <w:szCs w:val="21"/>
        </w:rPr>
        <w:t xml:space="preserve">US operations require separate risk management, compliance, legal, technology, and operational functions to meet US regulatory standards. This creates a structural floor on non-revenue-producing headcount that purely domestic banks do not carry.</w:t>
      </w:r>
    </w:p>
    <w:p>
      <w:pPr>
        <w:pStyle w:val="Heading3"/>
        <w:spacing w:after="100" w:before="300"/>
      </w:pPr>
      <w:r>
        <w:rPr>
          <w:rFonts w:ascii="Arial" w:cs="Arial" w:eastAsia="Arial" w:hAnsi="Arial"/>
          <w:b/>
          <w:bCs/>
          <w:color w:val="0f3460"/>
          <w:sz w:val="22"/>
          <w:szCs w:val="22"/>
        </w:rPr>
        <w:t xml:space="preserve">4.5 Enhanced Prudential Standards — The Hidden Multiplier</w:t>
      </w:r>
    </w:p>
    <w:p>
      <w:pPr>
        <w:spacing w:after="120"/>
      </w:pPr>
      <w:r>
        <w:rPr>
          <w:rFonts w:ascii="Arial" w:cs="Arial" w:eastAsia="Arial" w:hAnsi="Arial"/>
          <w:color w:val="374151"/>
          <w:sz w:val="21"/>
          <w:szCs w:val="21"/>
        </w:rPr>
        <w:t xml:space="preserve">Foreign Banking Organizations (FBOs) with &gt;$100B in US total consolidated assets are subject to Enhanced Prudential Standards under the Dodd-Frank Act. Both BMO and TD exceed this threshold. This requires them to establish a US Intermediate Holding Company (IHC) subject to US capital requirements, US liquidity requirements (LCR), US stress testing (CCAR/DFAST), US resolution planning, and US risk management standards — all separate from and in addition to their Canadian OSFI requirements. This is effectively a mandate to build a second bank-within-a-bank, with its own governance, risk, and compliance apparatus.</w:t>
      </w:r>
    </w:p>
    <w:p>
      <w:pPr>
        <w:pStyle w:val="Heading3"/>
        <w:spacing w:after="100" w:before="300"/>
      </w:pPr>
      <w:r>
        <w:rPr>
          <w:rFonts w:ascii="Arial" w:cs="Arial" w:eastAsia="Arial" w:hAnsi="Arial"/>
          <w:b/>
          <w:bCs/>
          <w:color w:val="0f3460"/>
          <w:sz w:val="22"/>
          <w:szCs w:val="22"/>
        </w:rPr>
        <w:t xml:space="preserve">4.6 Precedent: TD's AML Enforcement</w:t>
      </w:r>
    </w:p>
    <w:p>
      <w:pPr>
        <w:spacing w:after="120"/>
      </w:pPr>
      <w:r>
        <w:rPr>
          <w:rFonts w:ascii="Arial" w:cs="Arial" w:eastAsia="Arial" w:hAnsi="Arial"/>
          <w:color w:val="374151"/>
          <w:sz w:val="21"/>
          <w:szCs w:val="21"/>
        </w:rPr>
        <w:t xml:space="preserve">TD's $4.2B AML enforcement penalty in 2024 illustrates the extreme tail risk of US operations when compliance infrastructure proves inadequate. This event alone consumed approximately 47% of TD's FY2024 reported net income ($8.8B) and triggered a 10% US asset cap — a regulatory constraint with no equivalent in the Canadian framework.</w:t>
      </w:r>
    </w:p>
    <w:p>
      <w:r>
        <w:br w:type="page"/>
      </w:r>
    </w:p>
    <w:p>
      <w:pPr>
        <w:pStyle w:val="Heading1"/>
        <w:spacing w:after="100" w:before="300"/>
      </w:pPr>
      <w:r>
        <w:rPr>
          <w:rFonts w:ascii="Arial" w:cs="Arial" w:eastAsia="Arial" w:hAnsi="Arial"/>
          <w:b/>
          <w:bCs/>
          <w:color w:val="0f3460"/>
          <w:sz w:val="32"/>
          <w:szCs w:val="32"/>
        </w:rPr>
        <w:t xml:space="preserve">5. Implications for the TOCA Analysis</w:t>
      </w:r>
    </w:p>
    <w:p>
      <w:pPr>
        <w:spacing w:after="120"/>
      </w:pPr>
      <w:r>
        <w:rPr>
          <w:rFonts w:ascii="Arial" w:cs="Arial" w:eastAsia="Arial" w:hAnsi="Arial"/>
          <w:color w:val="374151"/>
          <w:sz w:val="21"/>
          <w:szCs w:val="21"/>
        </w:rPr>
        <w:t xml:space="preserve">A portion of BMO's elevated Corporate Services NIE (32.6% of total, vs peer range of 16-25%) is likely structural — driven by the regulatory and operational requirements of running a large US retail bank — rather than purely attributable to organizational inefficiency.</w:t>
      </w:r>
    </w:p>
    <w:p>
      <w:pPr>
        <w:spacing w:after="120"/>
      </w:pPr>
      <w:r>
        <w:rPr>
          <w:rFonts w:ascii="Arial" w:cs="Arial" w:eastAsia="Arial" w:hAnsi="Arial"/>
          <w:color w:val="374151"/>
          <w:sz w:val="21"/>
          <w:szCs w:val="21"/>
        </w:rPr>
        <w:t xml:space="preserve">If US operations require approximately 1.4x the support cost per revenue dollar (a conservative estimate given duplicate infrastructure, higher turnover, and EPS compliance), and BMO derives approximately 33% of revenue from the US, that implies roughly 4.6 percentage points of incremental TOCA burden. This alone would narrow the gap between BMO and domestically-focused peers significantly.</w:t>
      </w:r>
    </w:p>
    <w:p>
      <w:pPr>
        <w:spacing w:after="120"/>
      </w:pPr>
      <w:r>
        <w:rPr>
          <w:rFonts w:ascii="Arial" w:cs="Arial" w:eastAsia="Arial" w:hAnsi="Arial"/>
          <w:color w:val="374151"/>
          <w:sz w:val="21"/>
          <w:szCs w:val="21"/>
        </w:rPr>
        <w:t xml:space="preserve">Even adjusting for US structural costs, BMO's overhead appears elevated. The Bank of the West integration (completed 2023) likely contributed transitional overhead that should normalize. The remaining gap may reflect genuine optimization opportunity in technology and operations — but the size of that opportunity is smaller than the raw TOCA comparison suggests.</w:t>
      </w:r>
    </w:p>
    <w:p>
      <w:r>
        <w:br w:type="page"/>
      </w:r>
    </w:p>
    <w:p>
      <w:pPr>
        <w:pStyle w:val="Heading1"/>
        <w:spacing w:after="100" w:before="300"/>
      </w:pPr>
      <w:r>
        <w:rPr>
          <w:rFonts w:ascii="Arial" w:cs="Arial" w:eastAsia="Arial" w:hAnsi="Arial"/>
          <w:b/>
          <w:bCs/>
          <w:color w:val="0f3460"/>
          <w:sz w:val="32"/>
          <w:szCs w:val="32"/>
        </w:rPr>
        <w:t xml:space="preserve">6. Data Sources</w:t>
      </w:r>
    </w:p>
    <w:p>
      <w:pPr>
        <w:pStyle w:val="Heading3"/>
        <w:spacing w:after="100" w:before="300"/>
      </w:pPr>
      <w:r>
        <w:rPr>
          <w:rFonts w:ascii="Arial" w:cs="Arial" w:eastAsia="Arial" w:hAnsi="Arial"/>
          <w:b/>
          <w:bCs/>
          <w:color w:val="0f3460"/>
          <w:sz w:val="22"/>
          <w:szCs w:val="22"/>
        </w:rPr>
        <w:t xml:space="preserve">Sustainability Reports</w:t>
      </w:r>
    </w:p>
    <w:p>
      <w:pPr>
        <w:spacing w:after="120"/>
      </w:pPr>
      <w:r>
        <w:rPr>
          <w:rFonts w:ascii="Arial" w:cs="Arial" w:eastAsia="Arial" w:hAnsi="Arial"/>
          <w:color w:val="374151"/>
          <w:sz w:val="21"/>
          <w:szCs w:val="21"/>
        </w:rPr>
        <w:t xml:space="preserve">BMO 2024 Talent &amp; Inclusion Supplementary Sustainability Information</w:t>
      </w:r>
    </w:p>
    <w:p>
      <w:pPr>
        <w:spacing w:after="120"/>
      </w:pPr>
      <w:r>
        <w:rPr>
          <w:rFonts w:ascii="Arial" w:cs="Arial" w:eastAsia="Arial" w:hAnsi="Arial"/>
          <w:color w:val="374151"/>
          <w:sz w:val="21"/>
          <w:szCs w:val="21"/>
        </w:rPr>
        <w:t xml:space="preserve">RBC 2024 Sustainability Report</w:t>
      </w:r>
    </w:p>
    <w:p>
      <w:pPr>
        <w:spacing w:after="120"/>
      </w:pPr>
      <w:r>
        <w:rPr>
          <w:rFonts w:ascii="Arial" w:cs="Arial" w:eastAsia="Arial" w:hAnsi="Arial"/>
          <w:color w:val="374151"/>
          <w:sz w:val="21"/>
          <w:szCs w:val="21"/>
        </w:rPr>
        <w:t xml:space="preserve">TD 2024 Sustainability Report &amp; Performance Data Pack</w:t>
      </w:r>
    </w:p>
    <w:p>
      <w:pPr>
        <w:spacing w:after="120"/>
      </w:pPr>
      <w:r>
        <w:rPr>
          <w:rFonts w:ascii="Arial" w:cs="Arial" w:eastAsia="Arial" w:hAnsi="Arial"/>
          <w:color w:val="374151"/>
          <w:sz w:val="21"/>
          <w:szCs w:val="21"/>
        </w:rPr>
        <w:t xml:space="preserve">CIBC 2024 Sustainability Report</w:t>
      </w:r>
    </w:p>
    <w:p>
      <w:pPr>
        <w:spacing w:after="120"/>
      </w:pPr>
      <w:r>
        <w:rPr>
          <w:rFonts w:ascii="Arial" w:cs="Arial" w:eastAsia="Arial" w:hAnsi="Arial"/>
          <w:color w:val="374151"/>
          <w:sz w:val="21"/>
          <w:szCs w:val="21"/>
        </w:rPr>
        <w:t xml:space="preserve">Scotiabank 2024 Sustainability Report</w:t>
      </w:r>
    </w:p>
    <w:p>
      <w:pPr>
        <w:spacing w:after="120"/>
      </w:pPr>
      <w:r>
        <w:rPr>
          <w:rFonts w:ascii="Arial" w:cs="Arial" w:eastAsia="Arial" w:hAnsi="Arial"/>
          <w:color w:val="374151"/>
          <w:sz w:val="21"/>
          <w:szCs w:val="21"/>
        </w:rPr>
        <w:t xml:space="preserve">National Bank of Canada 2024 Sustainability Report</w:t>
      </w:r>
    </w:p>
    <w:p>
      <w:pPr>
        <w:pStyle w:val="Heading3"/>
        <w:spacing w:after="100" w:before="300"/>
      </w:pPr>
      <w:r>
        <w:rPr>
          <w:rFonts w:ascii="Arial" w:cs="Arial" w:eastAsia="Arial" w:hAnsi="Arial"/>
          <w:b/>
          <w:bCs/>
          <w:color w:val="0f3460"/>
          <w:sz w:val="22"/>
          <w:szCs w:val="22"/>
        </w:rPr>
        <w:t xml:space="preserve">Financial Data</w:t>
      </w:r>
    </w:p>
    <w:p>
      <w:pPr>
        <w:spacing w:after="120"/>
      </w:pPr>
      <w:r>
        <w:rPr>
          <w:rFonts w:ascii="Arial" w:cs="Arial" w:eastAsia="Arial" w:hAnsi="Arial"/>
          <w:color w:val="374151"/>
          <w:sz w:val="21"/>
          <w:szCs w:val="21"/>
        </w:rPr>
        <w:t xml:space="preserve">FY2024 Q4 Earnings Releases for all six banks</w:t>
      </w:r>
    </w:p>
    <w:p>
      <w:pPr>
        <w:spacing w:after="120"/>
      </w:pPr>
      <w:r>
        <w:rPr>
          <w:rFonts w:ascii="Arial" w:cs="Arial" w:eastAsia="Arial" w:hAnsi="Arial"/>
          <w:color w:val="374151"/>
          <w:sz w:val="21"/>
          <w:szCs w:val="21"/>
        </w:rPr>
        <w:t xml:space="preserve">Bank of Canada Staff Working Paper 2025-1: The International Exposure of the Canadian Banking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4"/>
        <w:szCs w:val="14"/>
      </w:rPr>
      <w:t xml:space="preserve">Based entirely on publicly available information. No internal BMO data was used.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PUBLIC — WARLAB — Prepared by 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2026-02-27T22:33:12.760Z</dcterms:created>
  <dcterms:modified xsi:type="dcterms:W3CDTF">2026-02-27T22:33:12.764Z</dcterms:modified>
</cp:coreProperties>
</file>

<file path=docProps/custom.xml><?xml version="1.0" encoding="utf-8"?>
<Properties xmlns="http://schemas.openxmlformats.org/officeDocument/2006/custom-properties" xmlns:vt="http://schemas.openxmlformats.org/officeDocument/2006/docPropsVTypes"/>
</file>