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i w:val="false"/>
          <w:iCs w:val="false"/>
          <w:color w:val="2E75B6"/>
          <w:sz w:val="20"/>
          <w:szCs w:val="20"/>
        </w:rPr>
        <w:t xml:space="preserve">PUBLIC</w:t>
      </w:r>
    </w:p>
    <w:p>
      <w:pPr>
        <w:spacing w:after="100"/>
        <w:jc w:val="center"/>
      </w:pPr>
      <w:r>
        <w:rPr>
          <w:rFonts w:ascii="Arial" w:cs="Arial" w:eastAsia="Arial" w:hAnsi="Arial"/>
          <w:b/>
          <w:bCs/>
          <w:color w:val="1F4E79"/>
          <w:sz w:val="48"/>
          <w:szCs w:val="48"/>
        </w:rPr>
        <w:t xml:space="preserve">Canadian Big 6 Bank</w:t>
      </w:r>
    </w:p>
    <w:p>
      <w:pPr>
        <w:spacing w:after="100"/>
        <w:jc w:val="center"/>
      </w:pPr>
      <w:r>
        <w:rPr>
          <w:rFonts w:ascii="Arial" w:cs="Arial" w:eastAsia="Arial" w:hAnsi="Arial"/>
          <w:b/>
          <w:bCs/>
          <w:color w:val="1F4E79"/>
          <w:sz w:val="48"/>
          <w:szCs w:val="48"/>
        </w:rPr>
        <w:t xml:space="preserve">Workforce Composition Analysis</w:t>
      </w:r>
    </w:p>
    <w:p>
      <w:pPr>
        <w:spacing w:after="400"/>
        <w:jc w:val="center"/>
      </w:pPr>
      <w:r>
        <w:rPr>
          <w:rFonts w:ascii="Arial" w:cs="Arial" w:eastAsia="Arial" w:hAnsi="Arial"/>
          <w:color w:val="2E75B6"/>
          <w:sz w:val="28"/>
          <w:szCs w:val="28"/>
        </w:rPr>
        <w:t xml:space="preserve">TOCA vs LOB Headcount Peer Benchmarking</w:t>
      </w:r>
    </w:p>
    <w:p>
      <w:pPr>
        <w:spacing w:after="60"/>
        <w:jc w:val="center"/>
      </w:pPr>
      <w:r>
        <w:rPr>
          <w:color w:val="1F4E79"/>
          <w:sz w:val="20"/>
          <w:szCs w:val="20"/>
        </w:rPr>
        <w:t xml:space="preserve">────────────────────────────────────────</w:t>
      </w:r>
    </w:p>
    <w:p>
      <w:pPr>
        <w:spacing w:after="60"/>
        <w:jc w:val="center"/>
      </w:pPr>
      <w:r>
        <w:rPr>
          <w:rFonts w:ascii="Arial" w:cs="Arial" w:eastAsia="Arial" w:hAnsi="Arial"/>
          <w:b w:val="false"/>
          <w:bCs w:val="false"/>
          <w:i w:val="false"/>
          <w:iCs w:val="false"/>
          <w:color w:val="666666"/>
          <w:sz w:val="24"/>
          <w:szCs w:val="24"/>
        </w:rPr>
        <w:t xml:space="preserve">Fermi Estimation Approach</w:t>
      </w:r>
    </w:p>
    <w:p>
      <w:pPr>
        <w:spacing w:after="60"/>
        <w:jc w:val="center"/>
      </w:pPr>
      <w:r>
        <w:rPr>
          <w:rFonts w:ascii="Arial" w:cs="Arial" w:eastAsia="Arial" w:hAnsi="Arial"/>
          <w:b w:val="false"/>
          <w:bCs w:val="false"/>
          <w:i w:val="false"/>
          <w:iCs w:val="false"/>
          <w:color w:val="666666"/>
          <w:sz w:val="20"/>
          <w:szCs w:val="20"/>
        </w:rPr>
        <w:t xml:space="preserve">Based on Public Financial Disclosures, Supplementary Data Packages,</w:t>
      </w:r>
    </w:p>
    <w:p>
      <w:pPr>
        <w:spacing w:after="400"/>
        <w:jc w:val="center"/>
      </w:pPr>
      <w:r>
        <w:rPr>
          <w:rFonts w:ascii="Arial" w:cs="Arial" w:eastAsia="Arial" w:hAnsi="Arial"/>
          <w:b w:val="false"/>
          <w:bCs w:val="false"/>
          <w:i w:val="false"/>
          <w:iCs w:val="false"/>
          <w:color w:val="666666"/>
          <w:sz w:val="20"/>
          <w:szCs w:val="20"/>
        </w:rPr>
        <w:t xml:space="preserve">and Industry Benchmarks</w:t>
      </w:r>
    </w:p>
    <w:p>
      <w:pPr>
        <w:spacing w:after="60"/>
        <w:jc w:val="center"/>
      </w:pPr>
      <w:r>
        <w:rPr>
          <w:rFonts w:ascii="Arial" w:cs="Arial" w:eastAsia="Arial" w:hAnsi="Arial"/>
          <w:b/>
          <w:bCs/>
          <w:i w:val="false"/>
          <w:iCs w:val="false"/>
          <w:color w:val="333333"/>
          <w:sz w:val="22"/>
          <w:szCs w:val="22"/>
        </w:rPr>
        <w:t xml:space="preserve">WARLAB — Prepared by MIA</w:t>
      </w:r>
    </w:p>
    <w:p>
      <w:pPr>
        <w:spacing w:after="60"/>
        <w:jc w:val="center"/>
      </w:pPr>
      <w:r>
        <w:rPr>
          <w:rFonts w:ascii="Arial" w:cs="Arial" w:eastAsia="Arial" w:hAnsi="Arial"/>
          <w:b w:val="false"/>
          <w:bCs w:val="false"/>
          <w:i w:val="false"/>
          <w:iCs w:val="false"/>
          <w:color w:val="666666"/>
          <w:sz w:val="20"/>
          <w:szCs w:val="20"/>
        </w:rPr>
        <w:t xml:space="preserve">February 2026</w:t>
      </w:r>
    </w:p>
    <w:p>
      <w:pPr>
        <w:spacing w:after="60"/>
        <w:jc w:val="center"/>
      </w:pPr>
      <w:r>
        <w:rPr>
          <w:rFonts w:ascii="Arial" w:cs="Arial" w:eastAsia="Arial" w:hAnsi="Arial"/>
          <w:b w:val="false"/>
          <w:bCs w:val="false"/>
          <w:i/>
          <w:iCs/>
          <w:color w:val="2E75B6"/>
          <w:sz w:val="20"/>
          <w:szCs w:val="20"/>
        </w:rPr>
        <w:t xml:space="preserve">Based Entirely on Publicly Available Information</w:t>
      </w:r>
    </w:p>
    <w:p>
      <w:pPr>
        <w:spacing w:after="120"/>
        <w:jc w:val="center"/>
      </w:pPr>
      <w:r>
        <w:rPr>
          <w:rFonts w:ascii="Arial" w:cs="Arial" w:eastAsia="Arial" w:hAnsi="Arial"/>
          <w:b w:val="false"/>
          <w:bCs w:val="false"/>
          <w:i/>
          <w:iCs/>
          <w:color w:val="666666"/>
          <w:sz w:val="18"/>
          <w:szCs w:val="18"/>
        </w:rPr>
        <w:t xml:space="preserve">No Internal BMO Data Was Used</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report examines the workforce composition of Canada’s Big 6 D-SIB banks, specifically analyzing the ratio of Technology, Operations, and Corporate Areas (TOCA) headcount to Line of Business (LOB) headcount. The analysis was undertaken to test the hypothesis that BMO carries a disproportionately high share of non-revenue-producing staff relative to peers, which may partially explain BMO’s ROE underperformance (11.3% adjusted vs. peer range of 13.6–15.4%).</w:t>
      </w:r>
    </w:p>
    <w:p>
      <w:pPr>
        <w:pStyle w:val="Heading2"/>
      </w:pPr>
      <w:r>
        <w:t xml:space="preserve">Key Findings</w:t>
      </w:r>
    </w:p>
    <w:p>
      <w:pPr>
        <w:spacing w:after="120"/>
        <w:jc w:val="left"/>
      </w:pPr>
      <w:r>
        <w:rPr>
          <w:rFonts w:ascii="Arial" w:cs="Arial" w:eastAsia="Arial" w:hAnsi="Arial"/>
          <w:b/>
          <w:bCs/>
          <w:color w:val="CC0000"/>
          <w:sz w:val="22"/>
          <w:szCs w:val="22"/>
        </w:rPr>
        <w:t xml:space="preserve">No Big 6 bank publicly discloses TOCA vs LOB headcount breakdowns. </w:t>
      </w:r>
      <w:r>
        <w:rPr>
          <w:rFonts w:ascii="Arial" w:cs="Arial" w:eastAsia="Arial" w:hAnsi="Arial"/>
          <w:color w:val="333333"/>
          <w:sz w:val="22"/>
          <w:szCs w:val="22"/>
        </w:rPr>
        <w:t xml:space="preserve">This is not a standard external benchmark. However, using a Fermi estimation approach based on segment-level non-interest expense data, technology spending disclosures, and industry benchmarks, we derived the following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93"/>
        <w:gridCol w:w="1293"/>
        <w:gridCol w:w="1293"/>
        <w:gridCol w:w="1293"/>
        <w:gridCol w:w="1293"/>
        <w:gridCol w:w="1293"/>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293"/>
            <w:tcBorders>
              <w:top w:val="single" w:color="CCCCCC" w:sz="1"/>
              <w:left w:val="single" w:color="CCCCCC" w:sz="1"/>
              <w:bottom w:val="single" w:color="CCCCCC" w:sz="1"/>
              <w:right w:val="single" w:color="CCCCCC" w:sz="1"/>
            </w:tcBorders>
            <w:shd w:fill="CC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BMO</w:t>
            </w:r>
          </w:p>
        </w:tc>
        <w:tc>
          <w:tcPr>
            <w:tcW w:type="dxa" w:w="129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RBC</w:t>
            </w:r>
          </w:p>
        </w:tc>
        <w:tc>
          <w:tcPr>
            <w:tcW w:type="dxa" w:w="129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TD</w:t>
            </w:r>
          </w:p>
        </w:tc>
        <w:tc>
          <w:tcPr>
            <w:tcW w:type="dxa" w:w="129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CIBC</w:t>
            </w:r>
          </w:p>
        </w:tc>
        <w:tc>
          <w:tcPr>
            <w:tcW w:type="dxa" w:w="129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BNS</w:t>
            </w:r>
          </w:p>
        </w:tc>
        <w:tc>
          <w:tcPr>
            <w:tcW w:type="dxa" w:w="129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Est. TOCA %</w:t>
            </w:r>
          </w:p>
        </w:tc>
        <w:tc>
          <w:tcPr>
            <w:tcW w:type="dxa" w:w="1293"/>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~33%</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~32%</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Total FTE</w:t>
            </w:r>
          </w:p>
        </w:tc>
        <w:tc>
          <w:tcPr>
            <w:tcW w:type="dxa" w:w="129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53,234</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94,838</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102,190</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48,552</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88,488</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31,303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LOB:TOCA Ratio</w:t>
            </w:r>
          </w:p>
        </w:tc>
        <w:tc>
          <w:tcPr>
            <w:tcW w:type="dxa" w:w="1293"/>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2.0:1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Adj. ROE</w:t>
            </w:r>
          </w:p>
        </w:tc>
        <w:tc>
          <w:tcPr>
            <w:tcW w:type="dxa" w:w="129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11.3%</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14.4%</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13.6%</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13.7%</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11.3%</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Adj. Efficiency</w:t>
            </w:r>
          </w:p>
        </w:tc>
        <w:tc>
          <w:tcPr>
            <w:tcW w:type="dxa" w:w="1293"/>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56.3%</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~56.0%</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58.1%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55.8%</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56.1%</w:t>
            </w:r>
          </w:p>
        </w:tc>
        <w:tc>
          <w:tcPr>
            <w:tcW w:type="dxa" w:w="129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53.1%</w:t>
            </w:r>
          </w:p>
        </w:tc>
      </w:tr>
    </w:tbl>
    <w:p>
      <w:pPr>
        <w:spacing w:after="6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color w:val="333333"/>
          <w:sz w:val="22"/>
          <w:szCs w:val="22"/>
        </w:rPr>
        <w:t xml:space="preserve">BMO’s estimated TOCA ratio of ~33% is the highest among Canadian peers, </w:t>
      </w:r>
      <w:r>
        <w:rPr>
          <w:rFonts w:ascii="Arial" w:cs="Arial" w:eastAsia="Arial" w:hAnsi="Arial"/>
          <w:color w:val="333333"/>
          <w:sz w:val="22"/>
          <w:szCs w:val="22"/>
        </w:rPr>
        <w:t xml:space="preserve">implying that for every 2 revenue-producing employees, BMO has approximately 1 support/infrastructure employee (2.0:1 ratio), compared to RBC’s 2.6:1 and NA’s 3.0:1.</w:t>
      </w:r>
    </w:p>
    <w:p>
      <w:pPr>
        <w:spacing w:after="120"/>
        <w:jc w:val="left"/>
      </w:pPr>
      <w:r>
        <w:rPr>
          <w:rFonts w:ascii="Arial" w:cs="Arial" w:eastAsia="Arial" w:hAnsi="Arial"/>
          <w:b w:val="false"/>
          <w:bCs w:val="false"/>
          <w:i w:val="false"/>
          <w:iCs w:val="false"/>
          <w:color w:val="333333"/>
          <w:sz w:val="22"/>
          <w:szCs w:val="22"/>
        </w:rPr>
        <w:t xml:space="preserve">Reducing BMO’s TOCA from 33% to 28% (RBC-level) would free ~2,660 FTE, saving approximately $370M annually — equating to ~0.4% of ROE. This is meaningful but explains only a fraction of the 300–550 bps gap. The ROE shortfall is likely multi-causal: revenue mix, credit provisions, Bank of the West integration drag, and capital allocation.</w:t>
      </w:r>
    </w:p>
    <w:p>
      <w:r>
        <w:br w:type="page"/>
      </w:r>
    </w:p>
    <w:p>
      <w:pPr>
        <w:pStyle w:val="Heading1"/>
      </w:pPr>
      <w:r>
        <w:t xml:space="preserve">2. Methodology &amp; Assumptions</w:t>
      </w:r>
    </w:p>
    <w:p>
      <w:pPr>
        <w:spacing w:after="120"/>
        <w:jc w:val="left"/>
      </w:pPr>
      <w:r>
        <w:rPr>
          <w:rFonts w:ascii="Arial" w:cs="Arial" w:eastAsia="Arial" w:hAnsi="Arial"/>
          <w:b w:val="false"/>
          <w:bCs w:val="false"/>
          <w:i w:val="false"/>
          <w:iCs w:val="false"/>
          <w:color w:val="333333"/>
          <w:sz w:val="22"/>
          <w:szCs w:val="22"/>
        </w:rPr>
        <w:t xml:space="preserve">Since no Canadian bank publicly discloses TOCA vs LOB headcount, we employed three independent Fermi estimation methods and triangulated the results.</w:t>
      </w:r>
    </w:p>
    <w:p>
      <w:pPr>
        <w:pStyle w:val="Heading2"/>
      </w:pPr>
      <w:r>
        <w:t xml:space="preserve">2.1 Method 1: Corporate Segment NIE Proxy</w:t>
      </w:r>
    </w:p>
    <w:p>
      <w:pPr>
        <w:spacing w:after="120"/>
        <w:jc w:val="left"/>
      </w:pPr>
      <w:r>
        <w:rPr>
          <w:rFonts w:ascii="Arial" w:cs="Arial" w:eastAsia="Arial" w:hAnsi="Arial"/>
          <w:b w:val="false"/>
          <w:bCs w:val="false"/>
          <w:i w:val="false"/>
          <w:iCs w:val="false"/>
          <w:color w:val="333333"/>
          <w:sz w:val="22"/>
          <w:szCs w:val="22"/>
        </w:rPr>
        <w:t xml:space="preserve">Each bank reports a “Corporate” or “Other” segment in their financial statements. This segment captures expenses not allocated to revenue-generating lines of business. The ratio of Corporate segment NIE to Total NIE serves as a directional proxy for TOCA burden.</w:t>
      </w:r>
    </w:p>
    <w:p>
      <w:pPr>
        <w:spacing w:after="120"/>
        <w:jc w:val="left"/>
      </w:pPr>
      <w:r>
        <w:rPr>
          <w:rFonts w:ascii="Arial" w:cs="Arial" w:eastAsia="Arial" w:hAnsi="Arial"/>
          <w:b/>
          <w:bCs/>
          <w:color w:val="CC0000"/>
          <w:sz w:val="22"/>
          <w:szCs w:val="22"/>
        </w:rPr>
        <w:t xml:space="preserve">Critical caveat: </w:t>
      </w:r>
      <w:r>
        <w:rPr>
          <w:rFonts w:ascii="Arial" w:cs="Arial" w:eastAsia="Arial" w:hAnsi="Arial"/>
          <w:color w:val="333333"/>
          <w:sz w:val="22"/>
          <w:szCs w:val="22"/>
        </w:rPr>
        <w:t xml:space="preserve">Banks differ dramatically in how they allocate Technology &amp; Operations costs. BMO retains most T&amp;O costs in Corporate Services (producing a 32.6% ratio), while TD fully allocates shared services to LOBs (producing a 1.5% ratio). The raw numbers are therefore NOT directly comparable without normalization.</w:t>
      </w:r>
    </w:p>
    <w:p>
      <w:pPr>
        <w:spacing w:after="120"/>
        <w:jc w:val="left"/>
      </w:pPr>
      <w:r>
        <w:rPr>
          <w:rFonts w:ascii="Arial" w:cs="Arial" w:eastAsia="Arial" w:hAnsi="Arial"/>
          <w:b w:val="false"/>
          <w:bCs w:val="false"/>
          <w:i w:val="false"/>
          <w:iCs w:val="false"/>
          <w:color w:val="333333"/>
          <w:sz w:val="22"/>
          <w:szCs w:val="22"/>
        </w:rPr>
        <w:t xml:space="preserve">To normalize, we estimated how much T&amp;O expense is “hidden” inside LOB segment NIE using technology spending disclosures and industry benchmarks.</w:t>
      </w:r>
    </w:p>
    <w:p>
      <w:pPr>
        <w:pStyle w:val="Heading2"/>
      </w:pPr>
      <w:r>
        <w:t xml:space="preserve">2.2 Method 2: Technology Spending Anchor</w:t>
      </w:r>
    </w:p>
    <w:p>
      <w:pPr>
        <w:spacing w:after="120"/>
        <w:jc w:val="left"/>
      </w:pPr>
      <w:r>
        <w:rPr>
          <w:rFonts w:ascii="Arial" w:cs="Arial" w:eastAsia="Arial" w:hAnsi="Arial"/>
          <w:b w:val="false"/>
          <w:bCs w:val="false"/>
          <w:i w:val="false"/>
          <w:iCs w:val="false"/>
          <w:color w:val="333333"/>
          <w:sz w:val="22"/>
          <w:szCs w:val="22"/>
        </w:rPr>
        <w:t xml:space="preserve">Where banks disclose technology spending, we estimated technology headcount using the formula:</w:t>
      </w:r>
    </w:p>
    <w:p>
      <w:pPr>
        <w:spacing w:after="100" w:before="100"/>
        <w:jc w:val="left"/>
      </w:pPr>
      <w:r>
        <w:rPr>
          <w:rFonts w:ascii="Arial" w:cs="Arial" w:eastAsia="Arial" w:hAnsi="Arial"/>
          <w:b w:val="false"/>
          <w:bCs w:val="false"/>
          <w:i/>
          <w:iCs/>
          <w:color w:val="2E75B6"/>
          <w:sz w:val="22"/>
          <w:szCs w:val="22"/>
        </w:rPr>
        <w:t xml:space="preserve">Tech Headcount = (Tech Spend × 65% labor share) ÷ Avg T&amp;O Compensation ($130–145K CAD)</w:t>
      </w:r>
    </w:p>
    <w:p>
      <w:pPr>
        <w:spacing w:after="200"/>
        <w:jc w:val="left"/>
      </w:pPr>
      <w:r>
        <w:rPr>
          <w:rFonts w:ascii="Arial" w:cs="Arial" w:eastAsia="Arial" w:hAnsi="Arial"/>
          <w:b w:val="false"/>
          <w:bCs w:val="false"/>
          <w:i/>
          <w:iCs/>
          <w:color w:val="2E75B6"/>
          <w:sz w:val="22"/>
          <w:szCs w:val="22"/>
        </w:rPr>
        <w:t xml:space="preserve">Total TOCA = Tech Headcount × 1.4x (adding operations and corporate overhead staff)</w:t>
      </w:r>
    </w:p>
    <w:p>
      <w:pPr>
        <w:pStyle w:val="ListParagraph"/>
        <w:numPr>
          <w:ilvl w:val="0"/>
          <w:numId w:val="2"/>
        </w:numPr>
      </w:pPr>
      <w:r>
        <w:rPr>
          <w:rFonts w:ascii="Arial" w:cs="Arial" w:eastAsia="Arial" w:hAnsi="Arial"/>
          <w:sz w:val="22"/>
          <w:szCs w:val="22"/>
        </w:rPr>
        <w:t xml:space="preserve">The 65% labor share comes from BMO’s Apptio cost transparency disclosure</w:t>
      </w:r>
    </w:p>
    <w:p>
      <w:pPr>
        <w:pStyle w:val="ListParagraph"/>
        <w:numPr>
          <w:ilvl w:val="0"/>
          <w:numId w:val="2"/>
        </w:numPr>
      </w:pPr>
      <w:r>
        <w:rPr>
          <w:rFonts w:ascii="Arial" w:cs="Arial" w:eastAsia="Arial" w:hAnsi="Arial"/>
          <w:sz w:val="22"/>
          <w:szCs w:val="22"/>
        </w:rPr>
        <w:t xml:space="preserve">The 1.4x multiplier reflects that Technology is approximately 70% of total TOCA, with Operations and Corporate overhead comprising the remainder</w:t>
      </w:r>
    </w:p>
    <w:p>
      <w:pPr>
        <w:pStyle w:val="ListParagraph"/>
        <w:numPr>
          <w:ilvl w:val="0"/>
          <w:numId w:val="2"/>
        </w:numPr>
        <w:spacing w:after="200"/>
      </w:pPr>
      <w:r>
        <w:rPr>
          <w:rFonts w:ascii="Arial" w:cs="Arial" w:eastAsia="Arial" w:hAnsi="Arial"/>
          <w:sz w:val="22"/>
          <w:szCs w:val="22"/>
        </w:rPr>
        <w:t xml:space="preserve">Average compensation ranges from $130K (NA, BNS) to $145K (RBC) based on geographic and role mix</w:t>
      </w:r>
    </w:p>
    <w:p>
      <w:pPr>
        <w:pStyle w:val="Heading2"/>
      </w:pPr>
      <w:r>
        <w:t xml:space="preserve">2.3 Method 3: Industry Benchmark Triangulation</w:t>
      </w:r>
    </w:p>
    <w:p>
      <w:pPr>
        <w:spacing w:after="120"/>
        <w:jc w:val="left"/>
      </w:pPr>
      <w:r>
        <w:rPr>
          <w:rFonts w:ascii="Arial" w:cs="Arial" w:eastAsia="Arial" w:hAnsi="Arial"/>
          <w:b w:val="false"/>
          <w:bCs w:val="false"/>
          <w:i w:val="false"/>
          <w:iCs w:val="false"/>
          <w:color w:val="333333"/>
          <w:sz w:val="22"/>
          <w:szCs w:val="22"/>
        </w:rPr>
        <w:t xml:space="preserve">Global banking benchmarks from McKinsey, Accenture, and Oliver Wyman indicate that large universal banks typically have 28–38% of their workforce in support/infrastructure roles. We positioned each bank within this range based on operational complexity, M&amp;A activity, technology investment intensity, and efficiency ratio performance.</w:t>
      </w:r>
    </w:p>
    <w:p>
      <w:pPr>
        <w:pStyle w:val="Heading2"/>
      </w:pPr>
      <w:r>
        <w:t xml:space="preserve">2.4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Assumption</w:t>
            </w:r>
          </w:p>
        </w:tc>
        <w:tc>
          <w:tcPr>
            <w:tcW w:type="dxa" w:w="6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Basis / Source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Labor = 65% of tech spend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BMO Apptio case study; consistent with industry (60–70% range)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Avg T&amp;O comp: $130–145K CAD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Glassdoor/Indeed ranges for bank technology roles in Canada; adjusted by bank size and location mix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T&amp;O = ~70% of total TOCA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Industry standard; Operations + Corporate = remaining 30%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Industry TOCA range: 28–38%</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McKinsey Banking Operations, Accenture Banking Technology Vision, Oliver Wyman Efficiency Studies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BMO TOCA elevated by integration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Bank of the West acquisition (Feb 2023) added ~9,300 employees; integration ongoing through FY2025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TD TOCA elevated by compliance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AML/BSA remediation added significant compliance infrastructure in FY2024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BNS TOCA elevated by intl ops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Operations in 50+ countries require significant local support infrastructure</w:t>
            </w:r>
          </w:p>
        </w:tc>
      </w:tr>
    </w:tbl>
    <w:p>
      <w:r>
        <w:br w:type="page"/>
      </w:r>
    </w:p>
    <w:p>
      <w:pPr>
        <w:pStyle w:val="Heading1"/>
      </w:pPr>
      <w:r>
        <w:t xml:space="preserve">3. Corporate Segment NIE Analysis</w:t>
      </w:r>
    </w:p>
    <w:p>
      <w:pPr>
        <w:spacing w:after="120"/>
        <w:jc w:val="left"/>
      </w:pPr>
      <w:r>
        <w:rPr>
          <w:rFonts w:ascii="Arial" w:cs="Arial" w:eastAsia="Arial" w:hAnsi="Arial"/>
          <w:b w:val="false"/>
          <w:bCs w:val="false"/>
          <w:i w:val="false"/>
          <w:iCs w:val="false"/>
          <w:color w:val="333333"/>
          <w:sz w:val="22"/>
          <w:szCs w:val="22"/>
        </w:rPr>
        <w:t xml:space="preserve">The table below shows each bank’s reported Corporate/Other segment non-interest expense as a percentage of total NIE. This is the single most important data point extracted from public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400"/>
        <w:gridCol w:w="1400"/>
        <w:gridCol w:w="19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Bank</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Corp. Segment Label</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Corp NIE ($M)</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NIE ($M)</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Corp % of NIE</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w:t>
            </w:r>
          </w:p>
        </w:tc>
      </w:tr>
      <w:tr>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BMO</w:t>
            </w:r>
          </w:p>
        </w:tc>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Corporate Services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$5,570</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$17,107</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32.6%</w:t>
            </w:r>
          </w:p>
        </w:tc>
        <w:tc>
          <w:tcPr>
            <w:tcW w:type="dxa" w:w="19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FY2025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RBC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Corporate Support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$34,250</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FY2024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TD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Corporate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$21,919</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FY2024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CIBC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Corporate &amp; Other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$14,439</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FY2024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Other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$19,695</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FY2024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Other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$6,054</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FY2024</w:t>
            </w:r>
          </w:p>
        </w:tc>
      </w:tr>
    </w:tbl>
    <w:p>
      <w:pPr>
        <w:spacing w:after="6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color w:val="333333"/>
          <w:sz w:val="22"/>
          <w:szCs w:val="22"/>
        </w:rPr>
        <w:t xml:space="preserve">BMO’s Corporate Services NIE of $5.57B (32.6%) is roughly 10x TD’s and 2–3x other peers. </w:t>
      </w:r>
      <w:r>
        <w:rPr>
          <w:rFonts w:ascii="Arial" w:cs="Arial" w:eastAsia="Arial" w:hAnsi="Arial"/>
          <w:color w:val="333333"/>
          <w:sz w:val="22"/>
          <w:szCs w:val="22"/>
        </w:rPr>
        <w:t xml:space="preserve">However, this stark difference is primarily an artifact of allocation methodology — BMO centralizes T&amp;O costs while peers distribute them to LOBs. The normalized analysis in Section 4 adjusts for this.</w:t>
      </w:r>
    </w:p>
    <w:p>
      <w:pPr>
        <w:spacing w:after="120"/>
        <w:jc w:val="left"/>
      </w:pPr>
      <w:r>
        <w:rPr>
          <w:rFonts w:ascii="Arial" w:cs="Arial" w:eastAsia="Arial" w:hAnsi="Arial"/>
          <w:b w:val="false"/>
          <w:bCs w:val="false"/>
          <w:i w:val="false"/>
          <w:iCs w:val="false"/>
          <w:color w:val="333333"/>
          <w:sz w:val="22"/>
          <w:szCs w:val="22"/>
        </w:rPr>
        <w:t xml:space="preserve">Notably, BMO’s Corporate Services NIE grew 15.1% year-over-year ($731M increase) — the fastest-growing segment — driven by technology investments, integration costs, and employee-related expenses.</w:t>
      </w:r>
    </w:p>
    <w:p>
      <w:r>
        <w:br w:type="page"/>
      </w:r>
    </w:p>
    <w:p>
      <w:pPr>
        <w:pStyle w:val="Heading1"/>
      </w:pPr>
      <w:r>
        <w:t xml:space="preserve">4. Normalized TOCA Headcount Estimates</w:t>
      </w:r>
    </w:p>
    <w:p>
      <w:pPr>
        <w:spacing w:after="120"/>
        <w:jc w:val="left"/>
      </w:pPr>
      <w:r>
        <w:rPr>
          <w:rFonts w:ascii="Arial" w:cs="Arial" w:eastAsia="Arial" w:hAnsi="Arial"/>
          <w:b w:val="false"/>
          <w:bCs w:val="false"/>
          <w:i w:val="false"/>
          <w:iCs w:val="false"/>
          <w:color w:val="333333"/>
          <w:sz w:val="22"/>
          <w:szCs w:val="22"/>
        </w:rPr>
        <w:t xml:space="preserve">After triangulating three estimation methods, the following table presents our best estimates for TOCA headcount at each Big 6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260"/>
            <w:tcBorders>
              <w:top w:val="single" w:color="CCCCCC" w:sz="1"/>
              <w:left w:val="single" w:color="CCCCCC" w:sz="1"/>
              <w:bottom w:val="single" w:color="CCCCCC" w:sz="1"/>
              <w:right w:val="single" w:color="CCCCCC" w:sz="1"/>
            </w:tcBorders>
            <w:shd w:fill="CC00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BMO</w:t>
            </w:r>
          </w:p>
        </w:tc>
        <w:tc>
          <w:tcPr>
            <w:tcW w:type="dxa" w:w="1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RBC</w:t>
            </w:r>
          </w:p>
        </w:tc>
        <w:tc>
          <w:tcPr>
            <w:tcW w:type="dxa" w:w="1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TD</w:t>
            </w:r>
          </w:p>
        </w:tc>
        <w:tc>
          <w:tcPr>
            <w:tcW w:type="dxa" w:w="1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CIBC</w:t>
            </w:r>
          </w:p>
        </w:tc>
        <w:tc>
          <w:tcPr>
            <w:tcW w:type="dxa" w:w="1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BNS</w:t>
            </w:r>
          </w:p>
        </w:tc>
        <w:tc>
          <w:tcPr>
            <w:tcW w:type="dxa" w:w="1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Total FTE</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53,234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94,838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102,190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48,552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88,488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31,303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Est. TOCA FTE</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17,567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26,555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30,657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13,109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28,316</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7,826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Est. LOB FTE</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35,667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68,283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71,533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35,443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60,172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23,477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Est. TOCA %</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~33%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LOB:TOCA Ratio</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CC0000"/>
                <w:sz w:val="18"/>
                <w:szCs w:val="18"/>
              </w:rPr>
              <w:t xml:space="preserve">2.0:1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2.1:1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Rev/Total FTE ($K)</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$1,050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$1,041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$864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$548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$390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$668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Rev/LOB FTE ($K)</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$1,567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$1,445</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$1,234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$751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$573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Confidence</w:t>
            </w:r>
          </w:p>
        </w:tc>
        <w:tc>
          <w:tcPr>
            <w:tcW w:type="dxa" w:w="12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Med-High</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Low-Med</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Medium</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pPr>
      <w:r>
        <w:t xml:space="preserve">4.1 What This Means for BMO</w:t>
      </w:r>
    </w:p>
    <w:p>
      <w:pPr>
        <w:spacing w:after="120"/>
        <w:jc w:val="left"/>
      </w:pPr>
      <w:r>
        <w:rPr>
          <w:rFonts w:ascii="Arial" w:cs="Arial" w:eastAsia="Arial" w:hAnsi="Arial"/>
          <w:b w:val="false"/>
          <w:bCs w:val="false"/>
          <w:i w:val="false"/>
          <w:iCs w:val="false"/>
          <w:color w:val="333333"/>
          <w:sz w:val="22"/>
          <w:szCs w:val="22"/>
        </w:rPr>
        <w:t xml:space="preserve">At an estimated 33% TOCA ratio, BMO has roughly 17,600 support/infrastructure employees supporting 35,700 revenue-producing employees. This 2.0:1 LOB-to-TOCA ratio is the weakest among peers:</w:t>
      </w:r>
    </w:p>
    <w:p>
      <w:pPr>
        <w:pStyle w:val="ListParagraph"/>
        <w:numPr>
          <w:ilvl w:val="0"/>
          <w:numId w:val="2"/>
        </w:numPr>
      </w:pPr>
      <w:r>
        <w:rPr>
          <w:rFonts w:ascii="Arial" w:cs="Arial" w:eastAsia="Arial" w:hAnsi="Arial"/>
          <w:sz w:val="22"/>
          <w:szCs w:val="22"/>
        </w:rPr>
        <w:t xml:space="preserve">RBC achieves 2.6:1 — 30% more LOB staff per TOCA employee</w:t>
      </w:r>
    </w:p>
    <w:p>
      <w:pPr>
        <w:pStyle w:val="ListParagraph"/>
        <w:numPr>
          <w:ilvl w:val="0"/>
          <w:numId w:val="2"/>
        </w:numPr>
      </w:pPr>
      <w:r>
        <w:rPr>
          <w:rFonts w:ascii="Arial" w:cs="Arial" w:eastAsia="Arial" w:hAnsi="Arial"/>
          <w:sz w:val="22"/>
          <w:szCs w:val="22"/>
        </w:rPr>
        <w:t xml:space="preserve">CIBC achieves 2.7:1 — 35% more LOB staff per TOCA employee</w:t>
      </w:r>
    </w:p>
    <w:p>
      <w:pPr>
        <w:pStyle w:val="ListParagraph"/>
        <w:numPr>
          <w:ilvl w:val="0"/>
          <w:numId w:val="2"/>
        </w:numPr>
      </w:pPr>
      <w:r>
        <w:rPr>
          <w:rFonts w:ascii="Arial" w:cs="Arial" w:eastAsia="Arial" w:hAnsi="Arial"/>
          <w:sz w:val="22"/>
          <w:szCs w:val="22"/>
        </w:rPr>
        <w:t xml:space="preserve">National Bank achieves 3.0:1 — 50% more LOB staff per TOCA employee</w:t>
      </w:r>
    </w:p>
    <w:p>
      <w:pPr>
        <w:spacing w:after="120"/>
        <w:jc w:val="left"/>
      </w:pPr>
      <w:r>
        <w:rPr>
          <w:rFonts w:ascii="Arial" w:cs="Arial" w:eastAsia="Arial" w:hAnsi="Arial"/>
          <w:b w:val="false"/>
          <w:bCs w:val="false"/>
          <w:i w:val="false"/>
          <w:iCs w:val="false"/>
          <w:color w:val="333333"/>
          <w:sz w:val="22"/>
          <w:szCs w:val="22"/>
        </w:rPr>
        <w:t xml:space="preserve">However, BMO’s Revenue/LOB FTE of $1,567K is the highest among all peers, suggesting that BMO’s LOB staff are highly productive. The challenge is that the TOCA overhead burden dilutes this productivity advantage when measured on a total-FTE basis.</w:t>
      </w:r>
    </w:p>
    <w:p>
      <w:r>
        <w:br w:type="page"/>
      </w:r>
    </w:p>
    <w:p>
      <w:pPr>
        <w:pStyle w:val="Heading1"/>
      </w:pPr>
      <w:r>
        <w:t xml:space="preserve">5. ROE Impact Analysis</w:t>
      </w:r>
    </w:p>
    <w:p>
      <w:pPr>
        <w:spacing w:after="120"/>
        <w:jc w:val="left"/>
      </w:pPr>
      <w:r>
        <w:rPr>
          <w:rFonts w:ascii="Arial" w:cs="Arial" w:eastAsia="Arial" w:hAnsi="Arial"/>
          <w:b w:val="false"/>
          <w:bCs w:val="false"/>
          <w:i w:val="false"/>
          <w:iCs w:val="false"/>
          <w:color w:val="333333"/>
          <w:sz w:val="22"/>
          <w:szCs w:val="22"/>
        </w:rPr>
        <w:t xml:space="preserve">If BMO reduced its TOCA ratio from the estimated 33% to 28% (matching RBC), the financial impact would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FTE reduction required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~2,660 (from 17,567 to 14,907)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Average TOCA compensation (est.)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~$140,000 CAD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Annual compensation savings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~$370M pre-tax</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After-tax savings (~73% retention)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~$270M</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BMO common equity (approx.)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~$87B</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ROE impact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~0.3–0.4% (30–40 bps)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Current ROE gap to RBC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~310 bps (11.3% vs 14.4%)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TOCA optimization as % of gap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~10–13% of total gap</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color w:val="333333"/>
          <w:sz w:val="22"/>
          <w:szCs w:val="22"/>
        </w:rPr>
        <w:t xml:space="preserve">Conclusion: </w:t>
      </w:r>
      <w:r>
        <w:rPr>
          <w:rFonts w:ascii="Arial" w:cs="Arial" w:eastAsia="Arial" w:hAnsi="Arial"/>
          <w:color w:val="333333"/>
          <w:sz w:val="22"/>
          <w:szCs w:val="22"/>
        </w:rPr>
        <w:t xml:space="preserve">TOCA optimization alone could contribute 30–40 bps toward closing the ROE gap. While meaningful (representing $270M+ in annual after-tax savings), it addresses only 10–13% of the total gap to RBC. The remaining 270–280 bps must come from revenue growth, credit cost normalization, U.S. integration synergies, and capital optimization.</w:t>
      </w:r>
    </w:p>
    <w:p>
      <w:r>
        <w:br w:type="page"/>
      </w:r>
    </w:p>
    <w:p>
      <w:pPr>
        <w:pStyle w:val="Heading1"/>
      </w:pPr>
      <w:r>
        <w:t xml:space="preserve">6. BMO-Specific Context</w:t>
      </w:r>
    </w:p>
    <w:p>
      <w:pPr>
        <w:pStyle w:val="Heading2"/>
      </w:pPr>
      <w:r>
        <w:t xml:space="preserve">6.1 Bank of the West Integration Impact</w:t>
      </w:r>
    </w:p>
    <w:p>
      <w:pPr>
        <w:spacing w:after="120"/>
        <w:jc w:val="left"/>
      </w:pPr>
      <w:r>
        <w:rPr>
          <w:rFonts w:ascii="Arial" w:cs="Arial" w:eastAsia="Arial" w:hAnsi="Arial"/>
          <w:b w:val="false"/>
          <w:bCs w:val="false"/>
          <w:i w:val="false"/>
          <w:iCs w:val="false"/>
          <w:color w:val="333333"/>
          <w:sz w:val="22"/>
          <w:szCs w:val="22"/>
        </w:rPr>
        <w:t xml:space="preserve">BMO’s elevated TOCA ratio is significantly influenced by the Bank of the West acquisition:</w:t>
      </w:r>
    </w:p>
    <w:p>
      <w:pPr>
        <w:pStyle w:val="ListParagraph"/>
        <w:numPr>
          <w:ilvl w:val="0"/>
          <w:numId w:val="2"/>
        </w:numPr>
      </w:pPr>
      <w:r>
        <w:rPr>
          <w:rFonts w:ascii="Arial" w:cs="Arial" w:eastAsia="Arial" w:hAnsi="Arial"/>
          <w:sz w:val="22"/>
          <w:szCs w:val="22"/>
        </w:rPr>
        <w:t xml:space="preserve">Acquisition closed February 1, 2023, adding ~9,300 employees</w:t>
      </w:r>
    </w:p>
    <w:p>
      <w:pPr>
        <w:pStyle w:val="ListParagraph"/>
        <w:numPr>
          <w:ilvl w:val="0"/>
          <w:numId w:val="2"/>
        </w:numPr>
      </w:pPr>
      <w:r>
        <w:rPr>
          <w:rFonts w:ascii="Arial" w:cs="Arial" w:eastAsia="Arial" w:hAnsi="Arial"/>
          <w:sz w:val="22"/>
          <w:szCs w:val="22"/>
        </w:rPr>
        <w:t xml:space="preserve">Peak headcount reached ~56,000 in FY2023, subsequently reduced to 53,234 by FY2025</w:t>
      </w:r>
    </w:p>
    <w:p>
      <w:pPr>
        <w:pStyle w:val="ListParagraph"/>
        <w:numPr>
          <w:ilvl w:val="0"/>
          <w:numId w:val="2"/>
        </w:numPr>
      </w:pPr>
      <w:r>
        <w:rPr>
          <w:rFonts w:ascii="Arial" w:cs="Arial" w:eastAsia="Arial" w:hAnsi="Arial"/>
          <w:sz w:val="22"/>
          <w:szCs w:val="22"/>
        </w:rPr>
        <w:t xml:space="preserve">System integration involved 25,000+ tasks completed by September 2023</w:t>
      </w:r>
    </w:p>
    <w:p>
      <w:pPr>
        <w:pStyle w:val="ListParagraph"/>
        <w:numPr>
          <w:ilvl w:val="0"/>
          <w:numId w:val="2"/>
        </w:numPr>
      </w:pPr>
      <w:r>
        <w:rPr>
          <w:rFonts w:ascii="Arial" w:cs="Arial" w:eastAsia="Arial" w:hAnsi="Arial"/>
          <w:sz w:val="22"/>
          <w:szCs w:val="22"/>
        </w:rPr>
        <w:t xml:space="preserve">Corporate Services NIE grew 15.1% YoY in FY2025 ($731M increase), the fastest-growing segment</w:t>
      </w:r>
    </w:p>
    <w:p>
      <w:pPr>
        <w:pStyle w:val="ListParagraph"/>
        <w:numPr>
          <w:ilvl w:val="0"/>
          <w:numId w:val="2"/>
        </w:numPr>
      </w:pPr>
      <w:r>
        <w:rPr>
          <w:rFonts w:ascii="Arial" w:cs="Arial" w:eastAsia="Arial" w:hAnsi="Arial"/>
          <w:sz w:val="22"/>
          <w:szCs w:val="22"/>
        </w:rPr>
        <w:t xml:space="preserve">Q4 FY2025 included a $202M severance charge for ~700 additional headcount reductions</w:t>
      </w:r>
    </w:p>
    <w:p>
      <w:pPr>
        <w:spacing w:after="120"/>
        <w:jc w:val="left"/>
      </w:pPr>
      <w:r>
        <w:rPr>
          <w:rFonts w:ascii="Arial" w:cs="Arial" w:eastAsia="Arial" w:hAnsi="Arial"/>
          <w:b w:val="false"/>
          <w:bCs w:val="false"/>
          <w:i w:val="false"/>
          <w:iCs w:val="false"/>
          <w:color w:val="333333"/>
          <w:sz w:val="22"/>
          <w:szCs w:val="22"/>
        </w:rPr>
        <w:t xml:space="preserve">Pre-acquisition (FY2022), BMO’s TOCA ratio was likely closer to 28–30%, suggesting that 3–5 percentage points of the current estimated 33% may be integration-related and temporary.</w:t>
      </w:r>
    </w:p>
    <w:p>
      <w:pPr>
        <w:pStyle w:val="Heading2"/>
      </w:pPr>
      <w:r>
        <w:t xml:space="preserve">6.2 Technology Investment Profile</w:t>
      </w:r>
    </w:p>
    <w:p>
      <w:pPr>
        <w:spacing w:after="120"/>
        <w:jc w:val="left"/>
      </w:pPr>
      <w:r>
        <w:rPr>
          <w:rFonts w:ascii="Arial" w:cs="Arial" w:eastAsia="Arial" w:hAnsi="Arial"/>
          <w:b w:val="false"/>
          <w:bCs w:val="false"/>
          <w:i w:val="false"/>
          <w:iCs w:val="false"/>
          <w:color w:val="333333"/>
          <w:sz w:val="22"/>
          <w:szCs w:val="22"/>
        </w:rPr>
        <w:t xml:space="preserve">BMO’s technology spending intensity is higher than peers relative to its size. At an estimated ~$3.5B on $17.1B total NIE, technology represents ~20.5% of BMO’s expense base — compared to RBC’s ~14.6% ($5B on $34.3B). This higher tech intensity contributes to the elevated TOCA ratio but may also position BMO for superior operational leverage as digital transformation matures.</w:t>
      </w:r>
    </w:p>
    <w:p>
      <w:r>
        <w:br w:type="page"/>
      </w:r>
    </w:p>
    <w:p>
      <w:pPr>
        <w:pStyle w:val="Heading1"/>
      </w:pPr>
      <w:r>
        <w:t xml:space="preserve">7. Data Gaps &amp; Limitations</w:t>
      </w:r>
    </w:p>
    <w:p>
      <w:pPr>
        <w:pStyle w:val="ListParagraph"/>
        <w:numPr>
          <w:ilvl w:val="0"/>
          <w:numId w:val="3"/>
        </w:numPr>
      </w:pPr>
      <w:r>
        <w:rPr>
          <w:rFonts w:ascii="Arial" w:cs="Arial" w:eastAsia="Arial" w:hAnsi="Arial"/>
          <w:sz w:val="22"/>
          <w:szCs w:val="22"/>
        </w:rPr>
        <w:t xml:space="preserve">No bank discloses TOCA vs LOB headcount split publicly — all figures are estimates with inherent uncertainty</w:t>
      </w:r>
    </w:p>
    <w:p>
      <w:pPr>
        <w:pStyle w:val="ListParagraph"/>
        <w:numPr>
          <w:ilvl w:val="0"/>
          <w:numId w:val="3"/>
        </w:numPr>
      </w:pPr>
      <w:r>
        <w:rPr>
          <w:rFonts w:ascii="Arial" w:cs="Arial" w:eastAsia="Arial" w:hAnsi="Arial"/>
          <w:sz w:val="22"/>
          <w:szCs w:val="22"/>
        </w:rPr>
        <w:t xml:space="preserve">Cost allocation methodology differences across banks are the single largest source of comparability error</w:t>
      </w:r>
    </w:p>
    <w:p>
      <w:pPr>
        <w:pStyle w:val="ListParagraph"/>
        <w:numPr>
          <w:ilvl w:val="0"/>
          <w:numId w:val="3"/>
        </w:numPr>
      </w:pPr>
      <w:r>
        <w:rPr>
          <w:rFonts w:ascii="Arial" w:cs="Arial" w:eastAsia="Arial" w:hAnsi="Arial"/>
          <w:sz w:val="22"/>
          <w:szCs w:val="22"/>
        </w:rPr>
        <w:t xml:space="preserve">Technology spending estimates for TD, CIBC, and NA are approximations based on partial disclosures</w:t>
      </w:r>
    </w:p>
    <w:p>
      <w:pPr>
        <w:pStyle w:val="ListParagraph"/>
        <w:numPr>
          <w:ilvl w:val="0"/>
          <w:numId w:val="3"/>
        </w:numPr>
      </w:pPr>
      <w:r>
        <w:rPr>
          <w:rFonts w:ascii="Arial" w:cs="Arial" w:eastAsia="Arial" w:hAnsi="Arial"/>
          <w:sz w:val="22"/>
          <w:szCs w:val="22"/>
        </w:rPr>
        <w:t xml:space="preserve">FY2025 headcount unavailable for CIBC and BNS (reports not yet released at time of analysis)</w:t>
      </w:r>
    </w:p>
    <w:p>
      <w:pPr>
        <w:pStyle w:val="ListParagraph"/>
        <w:numPr>
          <w:ilvl w:val="0"/>
          <w:numId w:val="3"/>
        </w:numPr>
      </w:pPr>
      <w:r>
        <w:rPr>
          <w:rFonts w:ascii="Arial" w:cs="Arial" w:eastAsia="Arial" w:hAnsi="Arial"/>
          <w:sz w:val="22"/>
          <w:szCs w:val="22"/>
        </w:rPr>
        <w:t xml:space="preserve">Contractor/contingent workforce excluded — no bank discloses this data</w:t>
      </w:r>
    </w:p>
    <w:p>
      <w:pPr>
        <w:pStyle w:val="ListParagraph"/>
        <w:numPr>
          <w:ilvl w:val="0"/>
          <w:numId w:val="3"/>
        </w:numPr>
      </w:pPr>
      <w:r>
        <w:rPr>
          <w:rFonts w:ascii="Arial" w:cs="Arial" w:eastAsia="Arial" w:hAnsi="Arial"/>
          <w:sz w:val="22"/>
          <w:szCs w:val="22"/>
        </w:rPr>
        <w:t xml:space="preserve">BMO FY2025 vs peer FY2024 creates a timing mismatch</w:t>
      </w:r>
    </w:p>
    <w:p>
      <w:pPr>
        <w:spacing w:after="6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Confidence levels for our TOCA estimates range from “Medium-High” (BMO, where Corporate Services NIE directly captures most T&amp;O) to “Low-Medium” (BNS, where international operations add complexity to estimations).</w:t>
      </w:r>
    </w:p>
    <w:p>
      <w:r>
        <w:br w:type="page"/>
      </w:r>
    </w:p>
    <w:p>
      <w:pPr>
        <w:pStyle w:val="Heading1"/>
      </w:pPr>
      <w:r>
        <w:t xml:space="preserve">8. Recommended Next Steps</w:t>
      </w:r>
    </w:p>
    <w:p>
      <w:pPr>
        <w:pStyle w:val="ListParagraph"/>
        <w:numPr>
          <w:ilvl w:val="0"/>
          <w:numId w:val="3"/>
        </w:numPr>
      </w:pPr>
      <w:r>
        <w:rPr>
          <w:rFonts w:ascii="Arial" w:cs="Arial" w:eastAsia="Arial" w:hAnsi="Arial"/>
          <w:sz w:val="22"/>
          <w:szCs w:val="22"/>
        </w:rPr>
        <w:t xml:space="preserve">Obtain BMO’s actual TOCA headcount from Finance/HR Analytics to validate the 33% estimate against internal data</w:t>
      </w:r>
    </w:p>
    <w:p>
      <w:pPr>
        <w:pStyle w:val="ListParagraph"/>
        <w:numPr>
          <w:ilvl w:val="0"/>
          <w:numId w:val="3"/>
        </w:numPr>
      </w:pPr>
      <w:r>
        <w:rPr>
          <w:rFonts w:ascii="Arial" w:cs="Arial" w:eastAsia="Arial" w:hAnsi="Arial"/>
          <w:sz w:val="22"/>
          <w:szCs w:val="22"/>
        </w:rPr>
        <w:t xml:space="preserve">Request BMO’s T&amp;O cost allocation model to understand what is charged to LOBs vs retained in Corporate Services</w:t>
      </w:r>
    </w:p>
    <w:p>
      <w:pPr>
        <w:pStyle w:val="ListParagraph"/>
        <w:numPr>
          <w:ilvl w:val="0"/>
          <w:numId w:val="3"/>
        </w:numPr>
      </w:pPr>
      <w:r>
        <w:rPr>
          <w:rFonts w:ascii="Arial" w:cs="Arial" w:eastAsia="Arial" w:hAnsi="Arial"/>
          <w:sz w:val="22"/>
          <w:szCs w:val="22"/>
        </w:rPr>
        <w:t xml:space="preserve">Compare BMO’s pre-acquisition (FY2022) TOCA ratio to current to quantify the integration-driven inflation</w:t>
      </w:r>
    </w:p>
    <w:p>
      <w:pPr>
        <w:pStyle w:val="ListParagraph"/>
        <w:numPr>
          <w:ilvl w:val="0"/>
          <w:numId w:val="3"/>
        </w:numPr>
      </w:pPr>
      <w:r>
        <w:rPr>
          <w:rFonts w:ascii="Arial" w:cs="Arial" w:eastAsia="Arial" w:hAnsi="Arial"/>
          <w:sz w:val="22"/>
          <w:szCs w:val="22"/>
        </w:rPr>
        <w:t xml:space="preserve">Benchmark against U.S. banks (JPMorgan, BofA, Wells Fargo) which publish more granular 10-K data</w:t>
      </w:r>
    </w:p>
    <w:p>
      <w:pPr>
        <w:pStyle w:val="ListParagraph"/>
        <w:numPr>
          <w:ilvl w:val="0"/>
          <w:numId w:val="3"/>
        </w:numPr>
      </w:pPr>
      <w:r>
        <w:rPr>
          <w:rFonts w:ascii="Arial" w:cs="Arial" w:eastAsia="Arial" w:hAnsi="Arial"/>
          <w:sz w:val="22"/>
          <w:szCs w:val="22"/>
        </w:rPr>
        <w:t xml:space="preserve">Engage consulting firms (McKinsey, Accenture) who maintain proprietary RP:NRP ratio databases for banking</w:t>
      </w:r>
    </w:p>
    <w:p>
      <w:pPr>
        <w:pStyle w:val="ListParagraph"/>
        <w:numPr>
          <w:ilvl w:val="0"/>
          <w:numId w:val="3"/>
        </w:numPr>
      </w:pPr>
      <w:r>
        <w:rPr>
          <w:rFonts w:ascii="Arial" w:cs="Arial" w:eastAsia="Arial" w:hAnsi="Arial"/>
          <w:sz w:val="22"/>
          <w:szCs w:val="22"/>
        </w:rPr>
        <w:t xml:space="preserve">Analyze BMO’s Corporate Services NIE trend FY2022–FY2025 to track the trajectory of integration-driven costs</w:t>
      </w:r>
    </w:p>
    <w:p>
      <w:pPr>
        <w:pStyle w:val="ListParagraph"/>
        <w:numPr>
          <w:ilvl w:val="0"/>
          <w:numId w:val="3"/>
        </w:numPr>
      </w:pPr>
      <w:r>
        <w:rPr>
          <w:rFonts w:ascii="Arial" w:cs="Arial" w:eastAsia="Arial" w:hAnsi="Arial"/>
          <w:sz w:val="22"/>
          <w:szCs w:val="22"/>
        </w:rPr>
        <w:t xml:space="preserve">Use “Corporate segment NIE %” as an ongoing proxy metric for tracking TOCA burden relative to peers</w:t>
      </w:r>
    </w:p>
    <w:p>
      <w:r>
        <w:br w:type="page"/>
      </w:r>
    </w:p>
    <w:p>
      <w:pPr>
        <w:pStyle w:val="Heading1"/>
      </w:pPr>
      <w:r>
        <w:t xml:space="preserve">9. Data Sources</w:t>
      </w:r>
    </w:p>
    <w:p>
      <w:pPr>
        <w:pStyle w:val="Heading3"/>
      </w:pPr>
      <w:r>
        <w:t xml:space="preserve">BMO</w:t>
      </w:r>
    </w:p>
    <w:p>
      <w:hyperlink w:history="1" r:id="rIdsareh7jvfvskdja5_vexg">
        <w:r>
          <w:rPr>
            <w:rStyle w:val="Hyperlink"/>
            <w:rFonts w:ascii="Arial" w:cs="Arial" w:eastAsia="Arial" w:hAnsi="Arial"/>
            <w:sz w:val="20"/>
            <w:szCs w:val="20"/>
          </w:rPr>
          <w:t xml:space="preserve">BMO 2025 Annual Report MD&amp;A</w:t>
        </w:r>
      </w:hyperlink>
    </w:p>
    <w:p>
      <w:hyperlink w:history="1" r:id="rIdlwobekk8hv9zs035q_bqi">
        <w:r>
          <w:rPr>
            <w:rStyle w:val="Hyperlink"/>
            <w:rFonts w:ascii="Arial" w:cs="Arial" w:eastAsia="Arial" w:hAnsi="Arial"/>
            <w:sz w:val="20"/>
            <w:szCs w:val="20"/>
          </w:rPr>
          <w:t xml:space="preserve">BMO Q4 FY2025 Supplementary Financial Information</w:t>
        </w:r>
      </w:hyperlink>
    </w:p>
    <w:p>
      <w:hyperlink w:history="1" r:id="rIdp_a5asvyndeixh0iza-7y">
        <w:r>
          <w:rPr>
            <w:rStyle w:val="Hyperlink"/>
            <w:rFonts w:ascii="Arial" w:cs="Arial" w:eastAsia="Arial" w:hAnsi="Arial"/>
            <w:sz w:val="20"/>
            <w:szCs w:val="20"/>
          </w:rPr>
          <w:t xml:space="preserve">BMO Q4 FY2025 Earnings Release</w:t>
        </w:r>
      </w:hyperlink>
    </w:p>
    <w:p>
      <w:hyperlink w:history="1" r:id="rIdcz6exd6sjopir6vxw46yj">
        <w:r>
          <w:rPr>
            <w:rStyle w:val="Hyperlink"/>
            <w:rFonts w:ascii="Arial" w:cs="Arial" w:eastAsia="Arial" w:hAnsi="Arial"/>
            <w:sz w:val="20"/>
            <w:szCs w:val="20"/>
          </w:rPr>
          <w:t xml:space="preserve">BMO/Apptio Cost Transparency Case Study</w:t>
        </w:r>
      </w:hyperlink>
    </w:p>
    <w:p>
      <w:pPr>
        <w:pStyle w:val="Heading3"/>
      </w:pPr>
      <w:r>
        <w:t xml:space="preserve">RBC</w:t>
      </w:r>
    </w:p>
    <w:p>
      <w:hyperlink w:history="1" r:id="rId1ds49e6xmdc0mc4dcjdi3">
        <w:r>
          <w:rPr>
            <w:rStyle w:val="Hyperlink"/>
            <w:rFonts w:ascii="Arial" w:cs="Arial" w:eastAsia="Arial" w:hAnsi="Arial"/>
            <w:sz w:val="20"/>
            <w:szCs w:val="20"/>
          </w:rPr>
          <w:t xml:space="preserve">RBC Q4 2024 Supplementary Financial Information</w:t>
        </w:r>
      </w:hyperlink>
    </w:p>
    <w:p>
      <w:hyperlink w:history="1" r:id="rIdkfakwmygd-km2fthbxbic">
        <w:r>
          <w:rPr>
            <w:rStyle w:val="Hyperlink"/>
            <w:rFonts w:ascii="Arial" w:cs="Arial" w:eastAsia="Arial" w:hAnsi="Arial"/>
            <w:sz w:val="20"/>
            <w:szCs w:val="20"/>
          </w:rPr>
          <w:t xml:space="preserve">RBC 2024 Annual Report</w:t>
        </w:r>
      </w:hyperlink>
    </w:p>
    <w:p>
      <w:pPr>
        <w:pStyle w:val="Heading3"/>
      </w:pPr>
      <w:r>
        <w:t xml:space="preserve">TD</w:t>
      </w:r>
    </w:p>
    <w:p>
      <w:hyperlink w:history="1" r:id="rIdy8qiccx6sb-ehsg1tqdm5">
        <w:r>
          <w:rPr>
            <w:rStyle w:val="Hyperlink"/>
            <w:rFonts w:ascii="Arial" w:cs="Arial" w:eastAsia="Arial" w:hAnsi="Arial"/>
            <w:sz w:val="20"/>
            <w:szCs w:val="20"/>
          </w:rPr>
          <w:t xml:space="preserve">TD Q4 2024 Earnings Release</w:t>
        </w:r>
      </w:hyperlink>
    </w:p>
    <w:p>
      <w:pPr>
        <w:pStyle w:val="Heading3"/>
      </w:pPr>
      <w:r>
        <w:t xml:space="preserve">CIBC</w:t>
      </w:r>
    </w:p>
    <w:p>
      <w:hyperlink w:history="1" r:id="rIdydcrtu0na5vqrpmuf9hid">
        <w:r>
          <w:rPr>
            <w:rStyle w:val="Hyperlink"/>
            <w:rFonts w:ascii="Arial" w:cs="Arial" w:eastAsia="Arial" w:hAnsi="Arial"/>
            <w:sz w:val="20"/>
            <w:szCs w:val="20"/>
          </w:rPr>
          <w:t xml:space="preserve">CIBC Q4 2024 Supplementary Financial Information</w:t>
        </w:r>
      </w:hyperlink>
    </w:p>
    <w:p>
      <w:pPr>
        <w:pStyle w:val="Heading3"/>
      </w:pPr>
      <w:r>
        <w:t xml:space="preserve">Scotiabank (BNS)</w:t>
      </w:r>
    </w:p>
    <w:p>
      <w:hyperlink w:history="1" r:id="rIde02xldac5tul1hzl0rdoi">
        <w:r>
          <w:rPr>
            <w:rStyle w:val="Hyperlink"/>
            <w:rFonts w:ascii="Arial" w:cs="Arial" w:eastAsia="Arial" w:hAnsi="Arial"/>
            <w:sz w:val="20"/>
            <w:szCs w:val="20"/>
          </w:rPr>
          <w:t xml:space="preserve">BNS Q4 2024 Supplementary Financial Information</w:t>
        </w:r>
      </w:hyperlink>
    </w:p>
    <w:p>
      <w:pPr>
        <w:pStyle w:val="Heading3"/>
      </w:pPr>
      <w:r>
        <w:t xml:space="preserve">National Bank (NA)</w:t>
      </w:r>
    </w:p>
    <w:p>
      <w:pPr>
        <w:spacing w:after="200"/>
      </w:pPr>
      <w:hyperlink w:history="1" r:id="rIdbrcsxridvirixp7gtsgdo">
        <w:r>
          <w:rPr>
            <w:rStyle w:val="Hyperlink"/>
            <w:rFonts w:ascii="Arial" w:cs="Arial" w:eastAsia="Arial" w:hAnsi="Arial"/>
            <w:sz w:val="20"/>
            <w:szCs w:val="20"/>
          </w:rPr>
          <w:t xml:space="preserve">National Bank Q4 2024 Earnings Release</w:t>
        </w:r>
      </w:hyperlink>
    </w:p>
    <w:p>
      <w:pPr>
        <w:pStyle w:val="Heading3"/>
      </w:pPr>
      <w:r>
        <w:t xml:space="preserve">Industry &amp; Headcount Data</w:t>
      </w:r>
    </w:p>
    <w:p>
      <w:hyperlink w:history="1" r:id="rId7u4tv0mfkndiyqvbth8mi">
        <w:r>
          <w:rPr>
            <w:rStyle w:val="Hyperlink"/>
            <w:rFonts w:ascii="Arial" w:cs="Arial" w:eastAsia="Arial" w:hAnsi="Arial"/>
            <w:sz w:val="20"/>
            <w:szCs w:val="20"/>
          </w:rPr>
          <w:t xml:space="preserve">MacroTrends — Bank Employee Data (BMO, RBC, TD, CIBC, BNS, NA)</w:t>
        </w:r>
      </w:hyperlink>
    </w:p>
    <w:p>
      <w:pPr>
        <w:spacing w:after="120"/>
        <w:jc w:val="left"/>
      </w:pPr>
      <w:r>
        <w:rPr>
          <w:rFonts w:ascii="Arial" w:cs="Arial" w:eastAsia="Arial" w:hAnsi="Arial"/>
          <w:b w:val="false"/>
          <w:bCs w:val="false"/>
          <w:i w:val="false"/>
          <w:iCs w:val="false"/>
          <w:color w:val="666666"/>
          <w:sz w:val="20"/>
          <w:szCs w:val="20"/>
        </w:rPr>
        <w:t xml:space="preserve">McKinsey Banking Operations Reports; Accenture Banking Technology Vision; Oliver Wyman Banking Efficiency Studies</w:t>
      </w:r>
    </w:p>
    <w:p>
      <w:pPr>
        <w:spacing w:before="400"/>
      </w:pPr>
    </w:p>
    <w:p>
      <w:pPr>
        <w:pBdr>
          <w:top w:val="single" w:color="CCCCCC" w:sz="1" w:space="8"/>
        </w:pBdr>
        <w:spacing w:after="100" w:before="200"/>
      </w:pPr>
      <w:r>
        <w:rPr>
          <w:rFonts w:ascii="Arial" w:cs="Arial" w:eastAsia="Arial" w:hAnsi="Arial"/>
          <w:b/>
          <w:bCs/>
          <w:color w:val="666666"/>
          <w:sz w:val="18"/>
          <w:szCs w:val="18"/>
        </w:rPr>
        <w:t xml:space="preserve">Disclaimer</w:t>
      </w:r>
    </w:p>
    <w:p>
      <w:pPr>
        <w:spacing w:after="100"/>
      </w:pPr>
      <w:r>
        <w:rPr>
          <w:rFonts w:ascii="Arial" w:cs="Arial" w:eastAsia="Arial" w:hAnsi="Arial"/>
          <w:i/>
          <w:iCs/>
          <w:color w:val="888888"/>
          <w:sz w:val="18"/>
          <w:szCs w:val="18"/>
        </w:rPr>
        <w:t xml:space="preserve">This document was produced with the assistance of MIA, an AI-powered research tool. It does not constitute investment, financial, or professional advice. All analysis is based entirely on publicly available information — no internal BMO data was used. Original sources and methodology have been provided so that readers may independently verify the findings. Estimates are approximations and carry ±3–5% uncertainty.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PUBLIC — WARLAB — Prepared by MIA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areh7jvfvskdja5_vexg" Type="http://schemas.openxmlformats.org/officeDocument/2006/relationships/hyperlink" Target="https://www.bmo.com/ir/archive/en/bmo_ar2025_MDA.pdf" TargetMode="External"/><Relationship Id="rIdlwobekk8hv9zs035q_bqi" Type="http://schemas.openxmlformats.org/officeDocument/2006/relationships/hyperlink" Target="https://www.bmo.com/ir/qtrinfo/1/2025-q4/Suppq425.pdf" TargetMode="External"/><Relationship Id="rIdp_a5asvyndeixh0iza-7y" Type="http://schemas.openxmlformats.org/officeDocument/2006/relationships/hyperlink" Target="https://newsroom.bmo.com/2025-12-04-BMO-Financial-Group-Reports-Fourth-Quarter-and-Fiscal-2025-Results" TargetMode="External"/><Relationship Id="rIdcz6exd6sjopir6vxw46yj" Type="http://schemas.openxmlformats.org/officeDocument/2006/relationships/hyperlink" Target="https://www.apptio.com/case-study/bmo-leverages-cost-transparency-to-better-serve-customers-and-reduce-costs/" TargetMode="External"/><Relationship Id="rId1ds49e6xmdc0mc4dcjdi3" Type="http://schemas.openxmlformats.org/officeDocument/2006/relationships/hyperlink" Target="https://www.rbc.com/investor-relations/_assets-custom/pdf/24q4supp.pdf" TargetMode="External"/><Relationship Id="rIdkfakwmygd-km2fthbxbic" Type="http://schemas.openxmlformats.org/officeDocument/2006/relationships/hyperlink" Target="https://www.rbc.com/investor-relations/_assets-custom/pdf/ar_2024_e.pdf" TargetMode="External"/><Relationship Id="rIdy8qiccx6sb-ehsg1tqdm5" Type="http://schemas.openxmlformats.org/officeDocument/2006/relationships/hyperlink" Target="https://www.td.com/content/dam/tdcom/canada/about-td/pdf/quarterly-results/2024/q4/2024-q4-earnings-newsrelease-en.pdf" TargetMode="External"/><Relationship Id="rIdydcrtu0na5vqrpmuf9hid" Type="http://schemas.openxmlformats.org/officeDocument/2006/relationships/hyperlink" Target="https://www.cibc.com/content/dam/cibc-public-assets/about-cibc/investor-relations/pdfs/quarterly-results/2024/q424financials-en.pdf" TargetMode="External"/><Relationship Id="rIde02xldac5tul1hzl0rdoi" Type="http://schemas.openxmlformats.org/officeDocument/2006/relationships/hyperlink" Target="https://www.scotiabank.com/content/dam/scotiabank/corporate/quarterly-reports/2024/q4/Q424_Supplementary_Financial_Information-EN.pdf" TargetMode="External"/><Relationship Id="rIdbrcsxridvirixp7gtsgdo" Type="http://schemas.openxmlformats.org/officeDocument/2006/relationships/hyperlink" Target="https://www.nbc.ca/content/dam/bnc/a-propos-de-nous/relations-investisseurs/resultats-trimestriels/2024/comm-q4-2024.pdf" TargetMode="External"/><Relationship Id="rId7u4tv0mfkndiyqvbth8mi" Type="http://schemas.openxmlformats.org/officeDocument/2006/relationships/hyperlink" Target="https://www.macrotrends.net/stocks/charts/BMO/bank-of-montreal/number-of-employee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2026-02-28T00:12:51.628Z</dcterms:created>
  <dcterms:modified xsi:type="dcterms:W3CDTF">2026-02-28T00:12:51.628Z</dcterms:modified>
</cp:coreProperties>
</file>

<file path=docProps/custom.xml><?xml version="1.0" encoding="utf-8"?>
<Properties xmlns="http://schemas.openxmlformats.org/officeDocument/2006/custom-properties" xmlns:vt="http://schemas.openxmlformats.org/officeDocument/2006/docPropsVTypes"/>
</file>