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F3460"/>
          <w:sz w:val="44"/>
          <w:szCs w:val="44"/>
        </w:rPr>
        <w:t xml:space="preserve">WORKFORCE ANALYTICS</w:t>
      </w:r>
    </w:p>
    <w:p>
      <w:pPr>
        <w:jc w:val="center"/>
      </w:pPr>
      <w:r>
        <w:rPr>
          <w:rFonts w:ascii="Arial" w:cs="Arial" w:eastAsia="Arial" w:hAnsi="Arial"/>
          <w:color w:val="2563EB"/>
          <w:sz w:val="36"/>
          <w:szCs w:val="36"/>
        </w:rPr>
        <w:t xml:space="preserve">RESEARCH BRIEFING</w:t>
      </w:r>
    </w:p>
    <w:p>
      <w:pPr>
        <w:spacing w:before="400"/>
        <w:jc w:val="center"/>
      </w:pPr>
      <w:r>
        <w:rPr>
          <w:rFonts w:ascii="Arial" w:cs="Arial" w:eastAsia="Arial" w:hAnsi="Arial"/>
          <w:color w:val="4B5563"/>
          <w:sz w:val="24"/>
          <w:szCs w:val="24"/>
        </w:rPr>
        <w:t xml:space="preserve">Workforce-Related Factors Potentially Contributing to</w:t>
      </w:r>
    </w:p>
    <w:p>
      <w:pPr>
        <w:jc w:val="center"/>
      </w:pPr>
      <w:r>
        <w:rPr>
          <w:rFonts w:ascii="Arial" w:cs="Arial" w:eastAsia="Arial" w:hAnsi="Arial"/>
          <w:color w:val="4B5563"/>
          <w:sz w:val="24"/>
          <w:szCs w:val="24"/>
        </w:rPr>
        <w:t xml:space="preserve">BMO Revenue Growth Gap vs. Canadian Peer Group</w:t>
      </w:r>
    </w:p>
    <w:p>
      <w:pPr>
        <w:spacing w:before="600"/>
        <w:jc w:val="center"/>
      </w:pPr>
      <w:r>
        <w:rPr>
          <w:rFonts w:ascii="Arial" w:cs="Arial" w:eastAsia="Arial" w:hAnsi="Arial"/>
          <w:color w:val="9CA3AF"/>
          <w:sz w:val="20"/>
          <w:szCs w:val="20"/>
        </w:rPr>
        <w:t xml:space="preserve">Enterprise Workforce Analytics — PeCU</w:t>
      </w:r>
    </w:p>
    <w:p>
      <w:pPr>
        <w:jc w:val="center"/>
      </w:pPr>
      <w:r>
        <w:rPr>
          <w:rFonts w:ascii="Arial" w:cs="Arial" w:eastAsia="Arial" w:hAnsi="Arial"/>
          <w:color w:val="9CA3AF"/>
          <w:sz w:val="20"/>
          <w:szCs w:val="20"/>
        </w:rPr>
        <w:t xml:space="preserve">February 2026</w:t>
      </w:r>
    </w:p>
    <w:p>
      <w:pPr>
        <w:spacing w:before="200"/>
        <w:jc w:val="center"/>
      </w:pPr>
      <w:r>
        <w:rPr>
          <w:rFonts w:ascii="Arial" w:cs="Arial" w:eastAsia="Arial" w:hAnsi="Arial"/>
          <w:b/>
          <w:bCs/>
          <w:color w:val="16A34A"/>
          <w:sz w:val="20"/>
          <w:szCs w:val="20"/>
        </w:rPr>
        <w:t xml:space="preserve">Classification: PUBLIC</w:t>
      </w:r>
    </w:p>
    <w:p>
      <w:pPr>
        <w:spacing w:before="200"/>
        <w:jc w:val="center"/>
      </w:pPr>
      <w:r>
        <w:rPr>
          <w:rFonts w:ascii="Arial" w:cs="Arial" w:eastAsia="Arial" w:hAnsi="Arial"/>
          <w:i/>
          <w:iCs/>
          <w:color w:val="9CA3AF"/>
          <w:sz w:val="18"/>
          <w:szCs w:val="18"/>
        </w:rPr>
        <w:t xml:space="preserve">Based entirely on publicly available information. No internal BMO data was used.</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briefing examines publicly available data on workforce-related factors that may be contributing to BMO's revenue growth gap relative to Canadian peer banks. While BMO delivered adjusted revenue growth of approximately 12% in fiscal 2025 and reported record revenue across all segments in Q1 2026, its return on equity (ROE) of 11.3% in FY2025 (adjusted) and 12.4% in Q1 2026 still trails several peers—notably RBC at ~16.8% ROE and National Bank in the mid-teens.</w:t>
      </w:r>
    </w:p>
    <w:p>
      <w:pPr>
        <w:spacing w:after="120"/>
      </w:pPr>
      <w:r>
        <w:t xml:space="preserve">The research identifies seven major workforce-related domains where publicly available data suggests potential contributors to this performance differential. These are organized from highest available evidence to most inferential. This document is intended to frame hypotheses for internal validation using BMO's proprietary workforce data, not to assert causation from external sources alone.</w:t>
      </w:r>
    </w:p>
    <w:p>
      <w:pPr>
        <w:spacing w:after="120"/>
      </w:pPr>
      <w:r>
        <w:rPr>
          <w:sz w:val="21"/>
          <w:szCs w:val="21"/>
        </w:rPr>
        <w:t xml:space="preserve">Key findings include: (1) BMO carries the highest estimated TOCA ratio (~33%) among the Big 6; (2) BMO's LOB productivity ($1,567K revenue/LOB FTE) is actually the strongest, suggesting overhead dilution rather than revenue weakness; (3) US operations structurally inflate costs through higher turnover (12.2% vs 9.8% CA), duplicate regulatory infrastructure, and compensation premiums; (4) Bank of the West integration has created temporary support-role bloat that is normalizing but incomplete; and (5) strong digital investment (~$1.3B over 2023-2024) has not yet fully translated into non-revenue role displacement.</w:t>
      </w:r>
    </w:p>
    <w:p>
      <w:r>
        <w:br w:type="page"/>
      </w:r>
    </w:p>
    <w:p>
      <w:pPr>
        <w:pStyle w:val="Heading1"/>
      </w:pPr>
      <w:r>
        <w:t xml:space="preserve">2. Financial Context: The Revenue and ROE Gap</w:t>
      </w:r>
    </w:p>
    <w:p>
      <w:pPr>
        <w:spacing w:after="120"/>
      </w:pPr>
      <w:r>
        <w:t xml:space="preserve">Before examining workforce factors, it is important to ground the discussion in the specific nature of BMO's performance relative to peers.</w:t>
      </w:r>
    </w:p>
    <w:p>
      <w:pPr>
        <w:pStyle w:val="Heading2"/>
      </w:pPr>
      <w:r>
        <w:t xml:space="preserve">2.1 Peer Revenue and Earnings Comparison (Fiscal Year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400"/>
        <w:gridCol w:w="1400"/>
        <w:gridCol w:w="1200"/>
        <w:gridCol w:w="1560"/>
      </w:tblGrid>
      <w:tr>
        <w:tc>
          <w:tcPr>
            <w:tcW w:type="dxa" w:w="14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Bank</w:t>
            </w:r>
          </w:p>
        </w:tc>
        <w:tc>
          <w:tcPr>
            <w:tcW w:type="dxa" w:w="1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Q4 FY25 Rev Growth</w:t>
            </w:r>
          </w:p>
        </w:tc>
        <w:tc>
          <w:tcPr>
            <w:tcW w:type="dxa" w:w="1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FY25 Adj. ROE</w:t>
            </w:r>
          </w:p>
        </w:tc>
        <w:tc>
          <w:tcPr>
            <w:tcW w:type="dxa" w:w="14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FY25 EPS Growth</w:t>
            </w:r>
          </w:p>
        </w:tc>
        <w:tc>
          <w:tcPr>
            <w:tcW w:type="dxa" w:w="14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Efficiency Ratio</w:t>
            </w:r>
          </w:p>
        </w:tc>
        <w:tc>
          <w:tcPr>
            <w:tcW w:type="dxa" w:w="1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FTEs</w:t>
            </w:r>
          </w:p>
        </w:tc>
        <w:tc>
          <w:tcPr>
            <w:tcW w:type="dxa" w:w="156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Rev/Employee</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RBC</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~16.8%</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~53-54%</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~96,000</w:t>
            </w:r>
          </w:p>
        </w:tc>
        <w:tc>
          <w:tcPr>
            <w:tcW w:type="dxa" w:w="1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~$646K</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TD</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~7.6% adj.</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~12.8%</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~27% adj.</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~55%</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~95,000+</w:t>
            </w:r>
          </w:p>
        </w:tc>
        <w:tc>
          <w:tcPr>
            <w:tcW w:type="dxa" w:w="1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~$611K</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CIBC</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~14-15%</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~16%</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~55%</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~49,000</w:t>
            </w:r>
          </w:p>
        </w:tc>
        <w:tc>
          <w:tcPr>
            <w:tcW w:type="dxa" w:w="1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~$571K</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BNS</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w:t>
            </w:r>
          </w:p>
        </w:tc>
        <w:tc>
          <w:tcPr>
            <w:tcW w:type="dxa" w:w="1200"/>
            <w:tcBorders>
              <w:top w:val="single" w:color="E5E7EB" w:sz="1"/>
              <w:left w:val="single" w:color="E5E7EB" w:sz="1"/>
              <w:bottom w:val="single" w:color="E5E7EB" w:sz="1"/>
              <w:right w:val="single" w:color="E5E7EB" w:sz="1"/>
            </w:tcBorders>
            <w:shd w:fill="FEF2F2" w:val="clear"/>
            <w:tcMar>
              <w:top w:type="dxa" w:w="60"/>
              <w:left w:type="dxa" w:w="100"/>
              <w:bottom w:type="dxa" w:w="60"/>
              <w:right w:type="dxa" w:w="100"/>
            </w:tcMar>
            <w:vAlign w:val="center"/>
          </w:tcPr>
          <w:p>
            <w:pPr>
              <w:jc w:val="center"/>
            </w:pPr>
            <w:r>
              <w:rPr>
                <w:rFonts w:ascii="Arial" w:cs="Arial" w:eastAsia="Arial" w:hAnsi="Arial"/>
                <w:b w:val="false"/>
                <w:bCs w:val="false"/>
                <w:color w:val="DC2626"/>
                <w:sz w:val="20"/>
                <w:szCs w:val="20"/>
              </w:rPr>
              <w:t xml:space="preserve">~11%</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~35% adj.</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~59%</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~82,600</w:t>
            </w:r>
          </w:p>
        </w:tc>
        <w:tc>
          <w:tcPr>
            <w:tcW w:type="dxa" w:w="1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~$390K</w:t>
            </w:r>
          </w:p>
        </w:tc>
      </w:tr>
      <w:tr>
        <w:tc>
          <w:tcPr>
            <w:tcW w:type="dxa" w:w="140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BMO</w:t>
            </w:r>
          </w:p>
        </w:tc>
        <w:tc>
          <w:tcPr>
            <w:tcW w:type="dxa" w:w="120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 adj.</w:t>
            </w:r>
          </w:p>
        </w:tc>
        <w:tc>
          <w:tcPr>
            <w:tcW w:type="dxa" w:w="1200"/>
            <w:tcBorders>
              <w:top w:val="single" w:color="E5E7EB" w:sz="1"/>
              <w:left w:val="single" w:color="E5E7EB" w:sz="1"/>
              <w:bottom w:val="single" w:color="E5E7EB" w:sz="1"/>
              <w:right w:val="single" w:color="E5E7EB" w:sz="1"/>
            </w:tcBorders>
            <w:shd w:fill="FEF2F2" w:val="clear"/>
            <w:tcMar>
              <w:top w:type="dxa" w:w="60"/>
              <w:left w:type="dxa" w:w="100"/>
              <w:bottom w:type="dxa" w:w="60"/>
              <w:right w:type="dxa" w:w="100"/>
            </w:tcMar>
            <w:vAlign w:val="center"/>
          </w:tcPr>
          <w:p>
            <w:pPr>
              <w:jc w:val="center"/>
            </w:pPr>
            <w:r>
              <w:rPr>
                <w:rFonts w:ascii="Arial" w:cs="Arial" w:eastAsia="Arial" w:hAnsi="Arial"/>
                <w:b w:val="false"/>
                <w:bCs w:val="false"/>
                <w:color w:val="DC2626"/>
                <w:sz w:val="20"/>
                <w:szCs w:val="20"/>
              </w:rPr>
              <w:t xml:space="preserve">11.3%</w:t>
            </w:r>
          </w:p>
        </w:tc>
        <w:tc>
          <w:tcPr>
            <w:tcW w:type="dxa" w:w="140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~26% adj.</w:t>
            </w:r>
          </w:p>
        </w:tc>
        <w:tc>
          <w:tcPr>
            <w:tcW w:type="dxa" w:w="140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56.3%</w:t>
            </w:r>
          </w:p>
        </w:tc>
        <w:tc>
          <w:tcPr>
            <w:tcW w:type="dxa" w:w="120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~53,200</w:t>
            </w:r>
          </w:p>
        </w:tc>
        <w:tc>
          <w:tcPr>
            <w:tcW w:type="dxa" w:w="156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~$658K</w:t>
            </w:r>
          </w:p>
        </w:tc>
      </w:tr>
    </w:tbl>
    <w:p>
      <w:pPr>
        <w:spacing w:before="200"/>
      </w:pPr>
    </w:p>
    <w:p>
      <w:pPr>
        <w:spacing w:after="120"/>
      </w:pPr>
      <w:r>
        <w:rPr>
          <w:i/>
          <w:iCs/>
        </w:rPr>
        <w:t xml:space="preserve">Key observation: BMO's adjusted revenue growth is competitive, but its ROE lags RBC by ~550 basis points and CIBC by ~300–400 bps. This suggests the gap is less about top-line generation and more about the cost and composition of the workforce deployed to generate that revenue—the efficiency with which human capital converts activity into shareholder returns.</w:t>
      </w:r>
    </w:p>
    <w:p>
      <w:pPr>
        <w:spacing w:after="120"/>
      </w:pPr>
      <w:r>
        <w:t xml:space="preserve">BMO's trailing twelve-month revenue per employee was approximately $658K (CAD). While this figure is among the highest for the Big 4 with available data, the ROE gap suggests the issue is driven not by aggregate headcount excess but by workforce mix, deployment patterns, and conversion efficiency within the headcount.</w:t>
      </w:r>
    </w:p>
    <w:p>
      <w:r>
        <w:br w:type="page"/>
      </w:r>
    </w:p>
    <w:p>
      <w:pPr>
        <w:pStyle w:val="Heading1"/>
      </w:pPr>
      <w:r>
        <w:t xml:space="preserve">3. TOCA vs LOB: Workforce Composition Analysis</w:t>
      </w:r>
    </w:p>
    <w:p>
      <w:pPr>
        <w:spacing w:after="120"/>
      </w:pPr>
      <w:r>
        <w:t xml:space="preserve">This is the most critical workforce composition question. No Big 6 bank publicly discloses a TOCA vs LOB headcount split. Using a Fermi estimation approach—triangulating corporate segment expenses, technology spending, and industry benchmarks—BMO's estimated non-revenue-producing headcount ratio emerges as the highest among peers.</w:t>
      </w:r>
    </w:p>
    <w:p>
      <w:pPr>
        <w:pStyle w:val="Heading2"/>
      </w:pPr>
      <w:r>
        <w:t xml:space="preserve">3.1 Estimated TOCA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160"/>
      </w:tblGrid>
      <w:tr>
        <w:tc>
          <w:tcPr>
            <w:tcW w:type="dxa" w:w="1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1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BMO</w:t>
            </w:r>
          </w:p>
        </w:tc>
        <w:tc>
          <w:tcPr>
            <w:tcW w:type="dxa" w:w="1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RBC</w:t>
            </w:r>
          </w:p>
        </w:tc>
        <w:tc>
          <w:tcPr>
            <w:tcW w:type="dxa" w:w="1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TD</w:t>
            </w:r>
          </w:p>
        </w:tc>
        <w:tc>
          <w:tcPr>
            <w:tcW w:type="dxa" w:w="1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CIBC</w:t>
            </w:r>
          </w:p>
        </w:tc>
        <w:tc>
          <w:tcPr>
            <w:tcW w:type="dxa" w:w="1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BNS</w:t>
            </w:r>
          </w:p>
        </w:tc>
        <w:tc>
          <w:tcPr>
            <w:tcW w:type="dxa" w:w="116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 FTE</w:t>
            </w:r>
          </w:p>
        </w:tc>
        <w:tc>
          <w:tcPr>
            <w:tcW w:type="dxa" w:w="120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53,234</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94,838</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102,190</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48,552</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88,488</w:t>
            </w:r>
          </w:p>
        </w:tc>
        <w:tc>
          <w:tcPr>
            <w:tcW w:type="dxa" w:w="1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31,303</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Est. TOCA FTE</w:t>
            </w:r>
          </w:p>
        </w:tc>
        <w:tc>
          <w:tcPr>
            <w:tcW w:type="dxa" w:w="1200"/>
            <w:tcBorders>
              <w:top w:val="single" w:color="E5E7EB" w:sz="1"/>
              <w:left w:val="single" w:color="E5E7EB" w:sz="1"/>
              <w:bottom w:val="single" w:color="E5E7EB" w:sz="1"/>
              <w:right w:val="single" w:color="E5E7EB" w:sz="1"/>
            </w:tcBorders>
            <w:shd w:fill="FE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17,567</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26,555</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30,657</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13,109</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28,316</w:t>
            </w:r>
          </w:p>
        </w:tc>
        <w:tc>
          <w:tcPr>
            <w:tcW w:type="dxa" w:w="1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7,826</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Est. TOCA %</w:t>
            </w:r>
          </w:p>
        </w:tc>
        <w:tc>
          <w:tcPr>
            <w:tcW w:type="dxa" w:w="1200"/>
            <w:tcBorders>
              <w:top w:val="single" w:color="E5E7EB" w:sz="1"/>
              <w:left w:val="single" w:color="E5E7EB" w:sz="1"/>
              <w:bottom w:val="single" w:color="E5E7EB" w:sz="1"/>
              <w:right w:val="single" w:color="E5E7EB" w:sz="1"/>
            </w:tcBorders>
            <w:shd w:fill="FE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~33%</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~28%</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~27%</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~32%</w:t>
            </w:r>
          </w:p>
        </w:tc>
        <w:tc>
          <w:tcPr>
            <w:tcW w:type="dxa" w:w="1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LOB:TOCA Ratio</w:t>
            </w:r>
          </w:p>
        </w:tc>
        <w:tc>
          <w:tcPr>
            <w:tcW w:type="dxa" w:w="120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2.0:1</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2.6:1</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2.3:1</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2.7:1</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2.1:1</w:t>
            </w:r>
          </w:p>
        </w:tc>
        <w:tc>
          <w:tcPr>
            <w:tcW w:type="dxa" w:w="1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3.0:1</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Rev/LOB FTE ($K)</w:t>
            </w:r>
          </w:p>
        </w:tc>
        <w:tc>
          <w:tcPr>
            <w:tcW w:type="dxa" w:w="120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$1,567</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$1,445</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$1,234</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$751</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$573</w:t>
            </w:r>
          </w:p>
        </w:tc>
        <w:tc>
          <w:tcPr>
            <w:tcW w:type="dxa" w:w="1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$890</w:t>
            </w:r>
          </w:p>
        </w:tc>
      </w:tr>
    </w:tbl>
    <w:p>
      <w:pPr>
        <w:spacing w:before="200"/>
      </w:pPr>
    </w:p>
    <w:p>
      <w:pPr>
        <w:spacing w:after="120"/>
      </w:pPr>
      <w:r>
        <w:t xml:space="preserve">At $1,567K revenue per LOB FTE, BMO leads all peers. The issue is not that LOB staff underperform—it is that the TOCA overhead dilutes this advantage when measured on a total-FTE basis.</w:t>
      </w:r>
    </w:p>
    <w:p>
      <w:pPr>
        <w:pStyle w:val="Heading2"/>
      </w:pPr>
      <w:r>
        <w:t xml:space="preserve">3.2 Corporate Segment NIE as a Signal</w:t>
      </w:r>
    </w:p>
    <w:p>
      <w:pPr>
        <w:spacing w:after="120"/>
      </w:pPr>
      <w:r>
        <w:t xml:space="preserve">BMO's Corporate Services NIE represents 32.6% of total NIE ($5,570M of $17,107M)—dramatically higher than peers (RBC 3.4%, TD 1.5%). However, this disparity largely reflects allocation methodology differences: BMO retains most Technology &amp; Operations costs in Corporate Services, while peers allocate them to LOBs. The raw percentages are not directly comparable, which is why the Fermi estimation normalizes for these differences.</w:t>
      </w:r>
    </w:p>
    <w:p>
      <w:pPr>
        <w:pStyle w:val="Heading2"/>
      </w:pPr>
      <w:r>
        <w:t xml:space="preserve">3.3 TOCA Optimization Scenario</w:t>
      </w:r>
    </w:p>
    <w:p>
      <w:pPr>
        <w:spacing w:after="120"/>
      </w:pPr>
      <w:r>
        <w:t xml:space="preserve">If BMO reduced its TOCA ratio from ~33% to the peer median of ~28% (RBC-level), this would require reducing approximately 2,660 TOCA FTE positions. At an estimated average TOCA compensation of ~$140,000 CAD, this yields approximately $370M in annual pre-tax savings, translating to ~30–40 basis points of ROE improvement—addressing roughly 10–13% of the 310 bps gap to RBC.</w:t>
      </w:r>
    </w:p>
    <w:p>
      <w:r>
        <w:br w:type="page"/>
      </w:r>
    </w:p>
    <w:p>
      <w:pPr>
        <w:pStyle w:val="Heading1"/>
      </w:pPr>
      <w:r>
        <w:t xml:space="preserve">4. Headcount Trajectory &amp; Bank of the West Integration</w:t>
      </w:r>
    </w:p>
    <w:p>
      <w:pPr>
        <w:pStyle w:val="Heading2"/>
      </w:pPr>
      <w:r>
        <w:t xml:space="preserve">4.1 BMO Headcount Trends</w:t>
      </w:r>
    </w:p>
    <w:p>
      <w:pPr>
        <w:spacing w:after="120"/>
      </w:pPr>
      <w:r>
        <w:t xml:space="preserve">BMO's total employee count reached approximately 53,234 in fiscal 2025, reflecting a modest 0.68% decline from 53,597 in fiscal 2024, which itself was a 4.29% decline from ~55,997 in fiscal 2023. The FY2023 peak was driven by the Bank of the West acquisition, which added approximately 9,300 employees. Since the acquisition close in February 2023 and the system conversion in September 2023, BMO has been steadily reducing headcount—including a Q1 2026 severance charge of $202M pre-tax that resulted in the elimination of approximately 700 positions.</w:t>
      </w:r>
    </w:p>
    <w:p>
      <w:pPr>
        <w:pStyle w:val="Heading2"/>
      </w:pPr>
      <w:r>
        <w:t xml:space="preserve">4.2 The Bank of the West Integration Overhead</w:t>
      </w:r>
    </w:p>
    <w:p>
      <w:pPr>
        <w:spacing w:after="120"/>
      </w:pPr>
      <w:r>
        <w:t xml:space="preserve">The $16.3B acquisition of Bank of the West in February 2023 was transformational—doubling BMO's U.S. footprint and adding ~9,300 employees, ~500 branches, and ~1.8M customers. While the technology conversion was executed efficiently (completed over a single Labor Day weekend in September 2023, winning Celent's 2024 Model Bank award for Integration Excellence), the workforce integration has been a longer tail.</w:t>
      </w:r>
    </w:p>
    <w:p>
      <w:pPr>
        <w:pStyle w:val="ListParagraph"/>
        <w:numPr>
          <w:ilvl w:val="0"/>
          <w:numId w:val="2"/>
        </w:numPr>
        <w:spacing w:after="80"/>
      </w:pPr>
      <w:r>
        <w:rPr>
          <w:b/>
          <w:bCs/>
        </w:rPr>
        <w:t xml:space="preserve">Integration staffing overhead: </w:t>
      </w:r>
      <w:r>
        <w:t xml:space="preserve">Back-office, operations, compliance, and technology integration required maintaining duplicate staffing through much of 2023–2024.</w:t>
      </w:r>
    </w:p>
    <w:p>
      <w:pPr>
        <w:pStyle w:val="ListParagraph"/>
        <w:numPr>
          <w:ilvl w:val="0"/>
          <w:numId w:val="2"/>
        </w:numPr>
        <w:spacing w:after="80"/>
      </w:pPr>
      <w:r>
        <w:rPr>
          <w:b/>
          <w:bCs/>
        </w:rPr>
        <w:t xml:space="preserve">U.S. loan balances declining: </w:t>
      </w:r>
      <w:r>
        <w:t xml:space="preserve">In Q4 FY2025, U.S. loan balances fell 2% and deposits were down 5% as BMO actively pruned its U.S. portfolio—exiting RV loans, indirect auto, franchise lending, and lower-return credit card portfolios.</w:t>
      </w:r>
    </w:p>
    <w:p>
      <w:pPr>
        <w:pStyle w:val="ListParagraph"/>
        <w:numPr>
          <w:ilvl w:val="0"/>
          <w:numId w:val="2"/>
        </w:numPr>
        <w:spacing w:after="80"/>
      </w:pPr>
      <w:r>
        <w:rPr>
          <w:b/>
          <w:bCs/>
        </w:rPr>
        <w:t xml:space="preserve">Branch divestitures: </w:t>
      </w:r>
      <w:r>
        <w:t xml:space="preserve">BMO announced the sale of 138 branches in select U.S. markets, with a $102M goodwill write-down in Q4 2025.</w:t>
      </w:r>
    </w:p>
    <w:p>
      <w:pPr>
        <w:pStyle w:val="ListParagraph"/>
        <w:numPr>
          <w:ilvl w:val="0"/>
          <w:numId w:val="2"/>
        </w:numPr>
        <w:spacing w:after="80"/>
      </w:pPr>
      <w:r>
        <w:rPr>
          <w:b/>
          <w:bCs/>
        </w:rPr>
        <w:t xml:space="preserve">Revenue-producing hire ramp-up: </w:t>
      </w:r>
      <w:r>
        <w:t xml:space="preserve">BMO has hired 100+ commercial bankers and private advisors in the past 12 months, with meaningful loan growth expected by Q2/Q3 2026. This signals recognition of underinvestment in front-line revenue capacity.</w:t>
      </w:r>
    </w:p>
    <w:p>
      <w:r>
        <w:br w:type="page"/>
      </w:r>
    </w:p>
    <w:p>
      <w:pPr>
        <w:pStyle w:val="Heading1"/>
      </w:pPr>
      <w:r>
        <w:t xml:space="preserve">5. Employee Turnover Benchmarking</w:t>
      </w:r>
    </w:p>
    <w:p>
      <w:pPr>
        <w:spacing w:after="120"/>
      </w:pPr>
      <w:r>
        <w:t xml:space="preserve">Employee turnover data was extracted from FY2024 sustainability reports published by each bank. All figures represent the fiscal year ended October 31, 2024.</w:t>
      </w:r>
    </w:p>
    <w:p>
      <w:pPr>
        <w:pStyle w:val="Heading2"/>
      </w:pPr>
      <w:r>
        <w:t xml:space="preserve">5.1 Turnover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200"/>
        <w:gridCol w:w="1100"/>
        <w:gridCol w:w="1100"/>
        <w:gridCol w:w="1100"/>
        <w:gridCol w:w="1660"/>
      </w:tblGrid>
      <w:tr>
        <w:tc>
          <w:tcPr>
            <w:tcW w:type="dxa" w:w="10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Bank</w:t>
            </w:r>
          </w:p>
        </w:tc>
        <w:tc>
          <w:tcPr>
            <w:tcW w:type="dxa" w:w="11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w:t>
            </w:r>
          </w:p>
        </w:tc>
        <w:tc>
          <w:tcPr>
            <w:tcW w:type="dxa" w:w="11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Voluntary</w:t>
            </w:r>
          </w:p>
        </w:tc>
        <w:tc>
          <w:tcPr>
            <w:tcW w:type="dxa" w:w="1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Involuntary</w:t>
            </w:r>
          </w:p>
        </w:tc>
        <w:tc>
          <w:tcPr>
            <w:tcW w:type="dxa" w:w="11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 Vol</w:t>
            </w:r>
          </w:p>
        </w:tc>
        <w:tc>
          <w:tcPr>
            <w:tcW w:type="dxa" w:w="11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 Vol</w:t>
            </w:r>
          </w:p>
        </w:tc>
        <w:tc>
          <w:tcPr>
            <w:tcW w:type="dxa" w:w="11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 Invol</w:t>
            </w:r>
          </w:p>
        </w:tc>
        <w:tc>
          <w:tcPr>
            <w:tcW w:type="dxa" w:w="166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FTEs</w:t>
            </w:r>
          </w:p>
        </w:tc>
      </w:tr>
      <w:tr>
        <w:tc>
          <w:tcPr>
            <w:tcW w:type="dxa" w:w="100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BMO</w:t>
            </w:r>
          </w:p>
        </w:tc>
        <w:tc>
          <w:tcPr>
            <w:tcW w:type="dxa" w:w="1100"/>
            <w:tcBorders>
              <w:top w:val="single" w:color="E5E7EB" w:sz="1"/>
              <w:left w:val="single" w:color="E5E7EB" w:sz="1"/>
              <w:bottom w:val="single" w:color="E5E7EB" w:sz="1"/>
              <w:right w:val="single" w:color="E5E7EB" w:sz="1"/>
            </w:tcBorders>
            <w:shd w:fill="FFFBEB"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16.6%</w:t>
            </w:r>
          </w:p>
        </w:tc>
        <w:tc>
          <w:tcPr>
            <w:tcW w:type="dxa" w:w="1100"/>
            <w:tcBorders>
              <w:top w:val="single" w:color="E5E7EB" w:sz="1"/>
              <w:left w:val="single" w:color="E5E7EB" w:sz="1"/>
              <w:bottom w:val="single" w:color="E5E7EB" w:sz="1"/>
              <w:right w:val="single" w:color="E5E7EB" w:sz="1"/>
            </w:tcBorders>
            <w:shd w:fill="FFFBEB"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10.6%</w:t>
            </w:r>
          </w:p>
        </w:tc>
        <w:tc>
          <w:tcPr>
            <w:tcW w:type="dxa" w:w="1200"/>
            <w:tcBorders>
              <w:top w:val="single" w:color="E5E7EB" w:sz="1"/>
              <w:left w:val="single" w:color="E5E7EB" w:sz="1"/>
              <w:bottom w:val="single" w:color="E5E7EB" w:sz="1"/>
              <w:right w:val="single" w:color="E5E7EB" w:sz="1"/>
            </w:tcBorders>
            <w:shd w:fill="FFFBEB"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6.0%</w:t>
            </w:r>
          </w:p>
        </w:tc>
        <w:tc>
          <w:tcPr>
            <w:tcW w:type="dxa" w:w="1100"/>
            <w:tcBorders>
              <w:top w:val="single" w:color="E5E7EB" w:sz="1"/>
              <w:left w:val="single" w:color="E5E7EB" w:sz="1"/>
              <w:bottom w:val="single" w:color="E5E7EB" w:sz="1"/>
              <w:right w:val="single" w:color="E5E7EB" w:sz="1"/>
            </w:tcBorders>
            <w:shd w:fill="FFFBEB"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9.8%</w:t>
            </w:r>
          </w:p>
        </w:tc>
        <w:tc>
          <w:tcPr>
            <w:tcW w:type="dxa" w:w="1100"/>
            <w:tcBorders>
              <w:top w:val="single" w:color="E5E7EB" w:sz="1"/>
              <w:left w:val="single" w:color="E5E7EB" w:sz="1"/>
              <w:bottom w:val="single" w:color="E5E7EB" w:sz="1"/>
              <w:right w:val="single" w:color="E5E7EB"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12.2%</w:t>
            </w:r>
          </w:p>
        </w:tc>
        <w:tc>
          <w:tcPr>
            <w:tcW w:type="dxa" w:w="1100"/>
            <w:tcBorders>
              <w:top w:val="single" w:color="E5E7EB" w:sz="1"/>
              <w:left w:val="single" w:color="E5E7EB" w:sz="1"/>
              <w:bottom w:val="single" w:color="E5E7EB" w:sz="1"/>
              <w:right w:val="single" w:color="E5E7EB"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10.3%</w:t>
            </w:r>
          </w:p>
        </w:tc>
        <w:tc>
          <w:tcPr>
            <w:tcW w:type="dxa" w:w="1660"/>
            <w:tcBorders>
              <w:top w:val="single" w:color="E5E7EB" w:sz="1"/>
              <w:left w:val="single" w:color="E5E7EB" w:sz="1"/>
              <w:bottom w:val="single" w:color="E5E7EB" w:sz="1"/>
              <w:right w:val="single" w:color="E5E7EB" w:sz="1"/>
            </w:tcBorders>
            <w:shd w:fill="FFFBEB"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57,060</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RBC</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11.8%</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9.5%</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2.3%</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9.9%</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98,588</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TD</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15.0%</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~10.5%</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~3.6%</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10.1%</w:t>
            </w:r>
          </w:p>
        </w:tc>
        <w:tc>
          <w:tcPr>
            <w:tcW w:type="dxa" w:w="1100"/>
            <w:tcBorders>
              <w:top w:val="single" w:color="E5E7EB" w:sz="1"/>
              <w:left w:val="single" w:color="E5E7EB" w:sz="1"/>
              <w:bottom w:val="single" w:color="E5E7EB" w:sz="1"/>
              <w:right w:val="single" w:color="E5E7EB" w:sz="1"/>
            </w:tcBorders>
            <w:shd w:fill="FE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11.4%</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5.1%</w:t>
            </w:r>
          </w:p>
        </w:tc>
        <w:tc>
          <w:tcPr>
            <w:tcW w:type="dxa" w:w="1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103,150</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CIBC</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11.8%</w:t>
            </w:r>
          </w:p>
        </w:tc>
        <w:tc>
          <w:tcPr>
            <w:tcW w:type="dxa" w:w="110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7.7%</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48,000</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BNS</w:t>
            </w:r>
          </w:p>
        </w:tc>
        <w:tc>
          <w:tcPr>
            <w:tcW w:type="dxa" w:w="1100"/>
            <w:tcBorders>
              <w:top w:val="single" w:color="E5E7EB" w:sz="1"/>
              <w:left w:val="single" w:color="E5E7EB" w:sz="1"/>
              <w:bottom w:val="single" w:color="E5E7EB" w:sz="1"/>
              <w:right w:val="single" w:color="E5E7EB" w:sz="1"/>
            </w:tcBorders>
            <w:shd w:fill="FEF2F2" w:val="clear"/>
            <w:tcMar>
              <w:top w:type="dxa" w:w="60"/>
              <w:left w:type="dxa" w:w="100"/>
              <w:bottom w:type="dxa" w:w="60"/>
              <w:right w:type="dxa" w:w="100"/>
            </w:tcMar>
            <w:vAlign w:val="center"/>
          </w:tcPr>
          <w:p>
            <w:pPr>
              <w:jc w:val="center"/>
            </w:pPr>
            <w:r>
              <w:rPr>
                <w:rFonts w:ascii="Arial" w:cs="Arial" w:eastAsia="Arial" w:hAnsi="Arial"/>
                <w:b w:val="false"/>
                <w:bCs w:val="false"/>
                <w:color w:val="DC2626"/>
                <w:sz w:val="20"/>
                <w:szCs w:val="20"/>
              </w:rPr>
              <w:t xml:space="preserve">17.5%</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10.0%</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~7.5%</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82,590</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NA</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31,303</w:t>
            </w:r>
          </w:p>
        </w:tc>
      </w:tr>
    </w:tbl>
    <w:p>
      <w:pPr>
        <w:spacing w:before="200"/>
      </w:pPr>
    </w:p>
    <w:p>
      <w:pPr>
        <w:spacing w:after="120"/>
      </w:pPr>
      <w:r>
        <w:rPr>
          <w:i/>
          <w:iCs/>
        </w:rPr>
        <w:t xml:space="preserve">Key finding: Where geographic data is available (BMO, TD), US voluntary turnover runs 12–25% higher than Canadian voluntary turnover. BMO's US involuntary turnover (10.3%) is nearly 3x the Canadian rate (3.5%), suggesting the US labor market imposes a structural cost premium through both higher attrition and more frequent workforce restructuring.</w:t>
      </w:r>
    </w:p>
    <w:p>
      <w:pPr>
        <w:pStyle w:val="Heading2"/>
      </w:pPr>
      <w:r>
        <w:t xml:space="preserve">5.2 Turnover &amp; TOCA Implications</w:t>
      </w:r>
    </w:p>
    <w:p>
      <w:pPr>
        <w:spacing w:after="120"/>
      </w:pPr>
      <w:r>
        <w:t xml:space="preserve">No bank publicly discloses turnover specifically for revenue-generating (LOB) vs support (TOCA) roles. This remains a data gap. The geographic split (Canada vs US) serves as the best available proxy, since US operations are predominantly revenue-generating retail and commercial banking.</w:t>
      </w:r>
    </w:p>
    <w:p>
      <w:pPr>
        <w:spacing w:after="120"/>
      </w:pPr>
      <w:r>
        <w:t xml:space="preserve">Industry-wide, Canadian bank attrition in operational and technology roles has been elevated due to competition for digital talent from fintechs, tech companies, and consulting firms. High turnover in these roles creates productivity drag and recurring recruitment/training costs.</w:t>
      </w:r>
    </w:p>
    <w:p>
      <w:r>
        <w:br w:type="page"/>
      </w:r>
    </w:p>
    <w:p>
      <w:pPr>
        <w:pStyle w:val="Heading1"/>
      </w:pPr>
      <w:r>
        <w:t xml:space="preserve">6. US Revenue &amp; Workforce Exposure</w:t>
      </w:r>
    </w:p>
    <w:p>
      <w:pPr>
        <w:spacing w:after="120"/>
      </w:pPr>
      <w:r>
        <w:t xml:space="preserve">The Canadian Big 6 have dramatically different US exposure profiles. BMO and TD are clear outliers, with approximately 30–35% and 25–30% of earnings from US operations respectively.</w:t>
      </w:r>
    </w:p>
    <w:p>
      <w:pPr>
        <w:pStyle w:val="Heading2"/>
      </w:pPr>
      <w:r>
        <w:t xml:space="preserve">6.1 US Exposure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200"/>
        <w:gridCol w:w="1400"/>
        <w:gridCol w:w="4360"/>
      </w:tblGrid>
      <w:tr>
        <w:tc>
          <w:tcPr>
            <w:tcW w:type="dxa" w:w="10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Bank</w:t>
            </w:r>
          </w:p>
        </w:tc>
        <w:tc>
          <w:tcPr>
            <w:tcW w:type="dxa" w:w="14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 Employees</w:t>
            </w:r>
          </w:p>
        </w:tc>
        <w:tc>
          <w:tcPr>
            <w:tcW w:type="dxa" w:w="1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 % Workforce</w:t>
            </w:r>
          </w:p>
        </w:tc>
        <w:tc>
          <w:tcPr>
            <w:tcW w:type="dxa" w:w="14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 US Earnings</w:t>
            </w:r>
          </w:p>
        </w:tc>
        <w:tc>
          <w:tcPr>
            <w:tcW w:type="dxa" w:w="436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Primary US Presence</w:t>
            </w:r>
          </w:p>
        </w:tc>
      </w:tr>
      <w:tr>
        <w:tc>
          <w:tcPr>
            <w:tcW w:type="dxa" w:w="1000"/>
            <w:tcBorders>
              <w:top w:val="single" w:color="E5E7EB" w:sz="1"/>
              <w:left w:val="single" w:color="E5E7EB" w:sz="1"/>
              <w:bottom w:val="single" w:color="E5E7EB" w:sz="1"/>
              <w:right w:val="single" w:color="E5E7EB" w:sz="1"/>
            </w:tcBorders>
            <w:shd w:fill="F0FDF4"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BMO</w:t>
            </w:r>
          </w:p>
        </w:tc>
        <w:tc>
          <w:tcPr>
            <w:tcW w:type="dxa" w:w="1400"/>
            <w:tcBorders>
              <w:top w:val="single" w:color="E5E7EB" w:sz="1"/>
              <w:left w:val="single" w:color="E5E7EB" w:sz="1"/>
              <w:bottom w:val="single" w:color="E5E7EB" w:sz="1"/>
              <w:right w:val="single" w:color="E5E7EB" w:sz="1"/>
            </w:tcBorders>
            <w:shd w:fill="FFFBEB"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19,621</w:t>
            </w:r>
          </w:p>
        </w:tc>
        <w:tc>
          <w:tcPr>
            <w:tcW w:type="dxa" w:w="1200"/>
            <w:tcBorders>
              <w:top w:val="single" w:color="E5E7EB" w:sz="1"/>
              <w:left w:val="single" w:color="E5E7EB" w:sz="1"/>
              <w:bottom w:val="single" w:color="E5E7EB" w:sz="1"/>
              <w:right w:val="single" w:color="E5E7EB" w:sz="1"/>
            </w:tcBorders>
            <w:shd w:fill="FFFBE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34.4%</w:t>
            </w:r>
          </w:p>
        </w:tc>
        <w:tc>
          <w:tcPr>
            <w:tcW w:type="dxa" w:w="1400"/>
            <w:tcBorders>
              <w:top w:val="single" w:color="E5E7EB" w:sz="1"/>
              <w:left w:val="single" w:color="E5E7EB" w:sz="1"/>
              <w:bottom w:val="single" w:color="E5E7EB" w:sz="1"/>
              <w:right w:val="single" w:color="E5E7EB" w:sz="1"/>
            </w:tcBorders>
            <w:shd w:fill="FE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~30-35%</w:t>
            </w:r>
          </w:p>
        </w:tc>
        <w:tc>
          <w:tcPr>
            <w:tcW w:type="dxa" w:w="4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Full retail bank (Bank of the West), US P&amp;C segment</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31,054</w:t>
            </w:r>
          </w:p>
        </w:tc>
        <w:tc>
          <w:tcPr>
            <w:tcW w:type="dxa" w:w="1200"/>
            <w:tcBorders>
              <w:top w:val="single" w:color="E5E7EB" w:sz="1"/>
              <w:left w:val="single" w:color="E5E7EB" w:sz="1"/>
              <w:bottom w:val="single" w:color="E5E7EB" w:sz="1"/>
              <w:right w:val="single" w:color="E5E7EB" w:sz="1"/>
            </w:tcBorders>
            <w:shd w:fill="FFFBE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30.1%</w:t>
            </w:r>
          </w:p>
        </w:tc>
        <w:tc>
          <w:tcPr>
            <w:tcW w:type="dxa" w:w="1400"/>
            <w:tcBorders>
              <w:top w:val="single" w:color="E5E7EB" w:sz="1"/>
              <w:left w:val="single" w:color="E5E7EB" w:sz="1"/>
              <w:bottom w:val="single" w:color="E5E7EB" w:sz="1"/>
              <w:right w:val="single" w:color="E5E7EB" w:sz="1"/>
            </w:tcBorders>
            <w:shd w:fill="FE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~25-30%</w:t>
            </w:r>
          </w:p>
        </w:tc>
        <w:tc>
          <w:tcPr>
            <w:tcW w:type="dxa" w:w="4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TD Bank N.A. (1,171+ branches, 16 states)</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RBC</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16,101</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16.3%</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~10-15%</w:t>
            </w:r>
          </w:p>
        </w:tc>
        <w:tc>
          <w:tcPr>
            <w:tcW w:type="dxa" w:w="4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City National Bank (CA), US wealth management</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CIBC</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4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 Commercial Banking &amp; Wealth Management</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BNS</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~3-5%</w:t>
            </w:r>
          </w:p>
        </w:tc>
        <w:tc>
          <w:tcPr>
            <w:tcW w:type="dxa" w:w="4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Limited US; International = LatAm/Caribbean</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NA</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~minimal</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&lt;1%</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&lt;2%</w:t>
            </w:r>
          </w:p>
        </w:tc>
        <w:tc>
          <w:tcPr>
            <w:tcW w:type="dxa" w:w="4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 branches in Florida; predominantly Quebec</w:t>
            </w:r>
          </w:p>
        </w:tc>
      </w:tr>
    </w:tbl>
    <w:p>
      <w:pPr>
        <w:pStyle w:val="Heading2"/>
      </w:pPr>
      <w:r>
        <w:t xml:space="preserve">6.2 The US Cost-to-Serve Thesis</w:t>
      </w:r>
    </w:p>
    <w:p>
      <w:pPr>
        <w:spacing w:after="120"/>
      </w:pPr>
      <w:r>
        <w:t xml:space="preserve">This is potentially a stronger explanatory variable for BMO's higher TOCA ratio than pure organizational bloat. If approximately 30–35% of BMO's business is in the US, and US operations require 1.3–1.5x the compliance and support infrastructure per revenue dollar compared to Canadian operations, that alone could explain a significant portion of the TOCA gap versus peers like RBC, CIBC, and National Bank who have minimal US retail banking exposure.</w:t>
      </w:r>
    </w:p>
    <w:p>
      <w:pPr>
        <w:spacing w:after="120"/>
      </w:pPr>
      <w:r>
        <w:t xml:space="preserve">BMO and TD—the two banks with the largest US footprints—face a compounding set of structural cost drivers that do not apply (or apply far less) to their domestically-focused peers:</w:t>
      </w:r>
    </w:p>
    <w:p>
      <w:pPr>
        <w:pStyle w:val="ListParagraph"/>
        <w:numPr>
          <w:ilvl w:val="0"/>
          <w:numId w:val="2"/>
        </w:numPr>
        <w:spacing w:after="80"/>
      </w:pPr>
      <w:r>
        <w:rPr>
          <w:b/>
          <w:bCs/>
        </w:rPr>
        <w:t xml:space="preserve">Regulatory Overhead: </w:t>
      </w:r>
      <w:r>
        <w:t xml:space="preserve">US regulatory compliance costs (Dodd-Frank, CFPB, OCC, FDIC, state-level regulations, BSA/AML) are significantly more prescriptive than OSFI/Canadian regulation.</w:t>
      </w:r>
    </w:p>
    <w:p>
      <w:pPr>
        <w:pStyle w:val="ListParagraph"/>
        <w:numPr>
          <w:ilvl w:val="0"/>
          <w:numId w:val="2"/>
        </w:numPr>
        <w:spacing w:after="80"/>
      </w:pPr>
      <w:r>
        <w:rPr>
          <w:b/>
          <w:bCs/>
        </w:rPr>
        <w:t xml:space="preserve">Higher US Voluntary Turnover: </w:t>
      </w:r>
      <w:r>
        <w:t xml:space="preserve">BMO data shows US voluntary turnover at 12.2% vs 9.8% in Canada—a 24% premium. TD shows a similar pattern.</w:t>
      </w:r>
    </w:p>
    <w:p>
      <w:pPr>
        <w:pStyle w:val="ListParagraph"/>
        <w:numPr>
          <w:ilvl w:val="0"/>
          <w:numId w:val="2"/>
        </w:numPr>
        <w:spacing w:after="80"/>
      </w:pPr>
      <w:r>
        <w:rPr>
          <w:b/>
          <w:bCs/>
        </w:rPr>
        <w:t xml:space="preserve">US Compensation Premiums: </w:t>
      </w:r>
      <w:r>
        <w:t xml:space="preserve">US banking salaries run materially higher than Canadian equivalents, especially in technology and compliance roles.</w:t>
      </w:r>
    </w:p>
    <w:p>
      <w:pPr>
        <w:pStyle w:val="ListParagraph"/>
        <w:numPr>
          <w:ilvl w:val="0"/>
          <w:numId w:val="2"/>
        </w:numPr>
        <w:spacing w:after="80"/>
      </w:pPr>
      <w:r>
        <w:rPr>
          <w:b/>
          <w:bCs/>
        </w:rPr>
        <w:t xml:space="preserve">Duplicate Infrastructure: </w:t>
      </w:r>
      <w:r>
        <w:t xml:space="preserve">US operations require separate risk management, compliance, legal, technology, and operational functions to meet US regulatory standards.</w:t>
      </w:r>
    </w:p>
    <w:p>
      <w:pPr>
        <w:pStyle w:val="Heading2"/>
      </w:pPr>
      <w:r>
        <w:t xml:space="preserve">6.3 Enhanced Prudential Standards (EPS) — The Hidden Multiplier</w:t>
      </w:r>
    </w:p>
    <w:p>
      <w:pPr>
        <w:spacing w:after="120"/>
      </w:pPr>
      <w:r>
        <w:t xml:space="preserve">Foreign Banking Organizations (FBOs) with &gt;$100B in US total consolidated assets are subject to Enhanced Prudential Standards under the Dodd-Frank Act. Both BMO and TD exceed this threshold. This requires them to establish a US Intermediate Holding Company (IHC) subject to US capital requirements, US liquidity requirements (LCR), US stress testing (CCAR/DFAST), US resolution planning, and US risk management standards—all separate from and in addition to their Canadian OSFI requirements. This is effectively a mandate to build a second bank-within-a-bank, with its own governance, risk, and compliance apparatus.</w:t>
      </w:r>
    </w:p>
    <w:p>
      <w:pPr>
        <w:spacing w:after="120"/>
      </w:pPr>
      <w:r>
        <w:t xml:space="preserve">TD's $4.2B AML enforcement penalty in 2024 illustrates the extreme tail risk of US operations when compliance infrastructure proves inadequate. This event alone consumed approximately 47% of TD's FY2024 reported net income ($8.8B) and triggered a 10% US asset cap—a regulatory constraint with no equivalent in the Canadian framework.</w:t>
      </w:r>
    </w:p>
    <w:p>
      <w:pPr>
        <w:pStyle w:val="Heading2"/>
      </w:pPr>
      <w:r>
        <w:t xml:space="preserve">6.4 Quantifying the US Cost-to-Serve Effect</w:t>
      </w:r>
    </w:p>
    <w:p>
      <w:pPr>
        <w:spacing w:after="120"/>
      </w:pPr>
      <w:r>
        <w:t xml:space="preserve">If US operations require ~1.4x the support cost per revenue dollar (a conservative estimate given duplicate infrastructure, higher turnover, and EPS compliance), and BMO derives ~33% of revenue from the US, that implies ~4.6 percentage points of incremental TOCA burden (33% x 0.4 x ~35% base TOCA rate). This alone would narrow the gap between BMO and domestically-focused peers significantly.</w:t>
      </w:r>
    </w:p>
    <w:p>
      <w:pPr>
        <w:spacing w:after="120"/>
      </w:pPr>
      <w:r>
        <w:t xml:space="preserve">Even adjusting for US structural costs, BMO's overhead appears elevated. The Bank of the West integration contributed transitional overhead that should normalize. The remaining gap may reflect genuine optimization opportunity in technology and operations—but the size of that opportunity is smaller than the raw TOCA comparison suggests.</w:t>
      </w:r>
    </w:p>
    <w:p>
      <w:r>
        <w:br w:type="page"/>
      </w:r>
    </w:p>
    <w:p>
      <w:pPr>
        <w:pStyle w:val="Heading1"/>
      </w:pPr>
      <w:r>
        <w:t xml:space="preserve">7. Efficiency Ratio &amp; Operating Leverage</w:t>
      </w:r>
    </w:p>
    <w:p>
      <w:pPr>
        <w:spacing w:after="120"/>
      </w:pPr>
      <w:r>
        <w:t xml:space="preserve">BMO's adjusted efficiency ratio improved from 58.3% in FY2024 to 56.3% in FY2025—a meaningful 200+ bps improvement. The bank achieved 4.3% adjusted operating leverage in FY2025 (revenue growing faster than expenses). However, this still trails RBC's efficiency ratio in the low-to-mid 50s.</w:t>
      </w:r>
    </w:p>
    <w:p>
      <w:pPr>
        <w:spacing w:after="120"/>
      </w:pPr>
      <w:r>
        <w:t xml:space="preserve">The workforce dimension of this gap centers on employee-related expenses, which were called out in multiple quarters as a primary driver of non-interest expense growth:</w:t>
      </w:r>
    </w:p>
    <w:p>
      <w:pPr>
        <w:pStyle w:val="ListParagraph"/>
        <w:numPr>
          <w:ilvl w:val="0"/>
          <w:numId w:val="2"/>
        </w:numPr>
        <w:spacing w:after="80"/>
      </w:pPr>
      <w:r>
        <w:rPr>
          <w:b/>
          <w:bCs/>
        </w:rPr>
        <w:t xml:space="preserve">Performance-based compensation: </w:t>
      </w:r>
      <w:r>
        <w:t xml:space="preserve">Higher variable comp in capital markets and wealth management, expected in strong revenue quarters but compresses the efficiency ratio.</w:t>
      </w:r>
    </w:p>
    <w:p>
      <w:pPr>
        <w:pStyle w:val="ListParagraph"/>
        <w:numPr>
          <w:ilvl w:val="0"/>
          <w:numId w:val="2"/>
        </w:numPr>
        <w:spacing w:after="80"/>
      </w:pPr>
      <w:r>
        <w:rPr>
          <w:b/>
          <w:bCs/>
        </w:rPr>
        <w:t xml:space="preserve">Technology and operations costs: </w:t>
      </w:r>
      <w:r>
        <w:t xml:space="preserve">Running dual systems during and after integration, plus ongoing SAP S/4HANA migration, cloud infrastructure, and AI capabilities. BMO invested approximately $1.3B in digital transformation over 2023–2024.</w:t>
      </w:r>
    </w:p>
    <w:p>
      <w:pPr>
        <w:pStyle w:val="ListParagraph"/>
        <w:numPr>
          <w:ilvl w:val="0"/>
          <w:numId w:val="2"/>
        </w:numPr>
        <w:spacing w:after="80"/>
      </w:pPr>
      <w:r>
        <w:rPr>
          <w:b/>
          <w:bCs/>
        </w:rPr>
        <w:t xml:space="preserve">Severance charges: </w:t>
      </w:r>
      <w:r>
        <w:t xml:space="preserve">$202M pre-tax in Q1 2026 alone for ~700 positions. Efficiency gains are being purchased at the cost of ongoing separation charges, which depress near-term ROE.</w:t>
      </w:r>
    </w:p>
    <w:p>
      <w:pPr>
        <w:pStyle w:val="ListParagraph"/>
        <w:numPr>
          <w:ilvl w:val="0"/>
          <w:numId w:val="2"/>
        </w:numPr>
        <w:spacing w:after="80"/>
      </w:pPr>
      <w:r>
        <w:rPr>
          <w:b/>
          <w:bCs/>
        </w:rPr>
        <w:t xml:space="preserve">Acquisition-related intangibles: </w:t>
      </w:r>
      <w:r>
        <w:t xml:space="preserve">$96M pre-tax amortization in Q1 2026, representing the tail of Bank of the West and Burgundy acquisition costs.</w:t>
      </w:r>
    </w:p>
    <w:p>
      <w:r>
        <w:br w:type="page"/>
      </w:r>
    </w:p>
    <w:p>
      <w:pPr>
        <w:pStyle w:val="Heading1"/>
      </w:pPr>
      <w:r>
        <w:t xml:space="preserve">8. Digital Investment &amp; Workforce Displacement</w:t>
      </w:r>
    </w:p>
    <w:p>
      <w:pPr>
        <w:spacing w:after="120"/>
      </w:pPr>
      <w:r>
        <w:t xml:space="preserve">BMO has positioned itself as a "Digital-First, AI-powered" institution, with notable achievements: 7.2M+ active digital users (~12% YoY growth), BMO Assist chatbot handling 2.5M+ customer interactions across 260 topics in FY2025, 260M+ AI-powered insights delivered to customers, and approximately $1.3B invested in digital transformation over 2023–2024.</w:t>
      </w:r>
    </w:p>
    <w:p>
      <w:pPr>
        <w:spacing w:after="120"/>
      </w:pPr>
      <w:r>
        <w:t xml:space="preserve">The critical workforce analytics question is whether these digital investments are translating into measurable displacement of non-revenue-producing roles. Across the industry, Canadian banks are following a clear pattern: invest in digital and AI capabilities, reduce transactional/operational headcount, and redeploy capacity toward revenue-generating roles.</w:t>
      </w:r>
    </w:p>
    <w:p>
      <w:pPr>
        <w:spacing w:after="120"/>
      </w:pPr>
      <w:r>
        <w:t xml:space="preserve">Industry trend: Despite branch closures and operational staff reductions, the average wage in Canadian banking is increasing because lower-skilled transactional roles are being replaced by higher-skilled analytical, advisory, and technical staff. This is the workforce mix shift in action.</w:t>
      </w:r>
    </w:p>
    <w:p>
      <w:r>
        <w:br w:type="page"/>
      </w:r>
    </w:p>
    <w:p>
      <w:pPr>
        <w:pStyle w:val="Heading1"/>
      </w:pPr>
      <w:r>
        <w:t xml:space="preserve">9. Ranked Workforce Hypotheses</w:t>
      </w:r>
    </w:p>
    <w:p>
      <w:pPr>
        <w:spacing w:after="120"/>
      </w:pPr>
      <w:r>
        <w:t xml:space="preserve">Based on this external research, the primary workforce hypotheses, in order of likely impact, are:</w:t>
      </w:r>
    </w:p>
    <w:p>
      <w:pPr>
        <w:pStyle w:val="ListParagraph"/>
        <w:numPr>
          <w:ilvl w:val="0"/>
          <w:numId w:val="3"/>
        </w:numPr>
        <w:spacing w:after="100"/>
      </w:pPr>
      <w:r>
        <w:rPr>
          <w:b/>
          <w:bCs/>
        </w:rPr>
        <w:t xml:space="preserve">Post-acquisition workforce normalization lag </w:t>
      </w:r>
      <w:r>
        <w:t xml:space="preserve">— Bank of the West integration creating temporary support-role bloat and ongoing severance charges.</w:t>
      </w:r>
    </w:p>
    <w:p>
      <w:pPr>
        <w:pStyle w:val="ListParagraph"/>
        <w:numPr>
          <w:ilvl w:val="0"/>
          <w:numId w:val="3"/>
        </w:numPr>
        <w:spacing w:after="100"/>
      </w:pPr>
      <w:r>
        <w:rPr>
          <w:b/>
          <w:bCs/>
        </w:rPr>
        <w:t xml:space="preserve">U.S. Banking workforce productivity deficit </w:t>
      </w:r>
      <w:r>
        <w:t xml:space="preserve">— Shrinking loan book + divesting branches + new banker ramp = temporary revenue/employee depression.</w:t>
      </w:r>
    </w:p>
    <w:p>
      <w:pPr>
        <w:pStyle w:val="ListParagraph"/>
        <w:numPr>
          <w:ilvl w:val="0"/>
          <w:numId w:val="3"/>
        </w:numPr>
        <w:spacing w:after="100"/>
      </w:pPr>
      <w:r>
        <w:rPr>
          <w:b/>
          <w:bCs/>
        </w:rPr>
        <w:t xml:space="preserve">Incomplete digital-to-headcount conversion </w:t>
      </w:r>
      <w:r>
        <w:t xml:space="preserve">— Strong digital investment not yet fully reflected in non-revenue role displacement or revenue redeployment.</w:t>
      </w:r>
    </w:p>
    <w:p>
      <w:pPr>
        <w:pStyle w:val="ListParagraph"/>
        <w:numPr>
          <w:ilvl w:val="0"/>
          <w:numId w:val="3"/>
        </w:numPr>
        <w:spacing w:after="100"/>
      </w:pPr>
      <w:r>
        <w:rPr>
          <w:b/>
          <w:bCs/>
        </w:rPr>
        <w:t xml:space="preserve">Dual-jurisdiction regulatory staffing overhead </w:t>
      </w:r>
      <w:r>
        <w:t xml:space="preserve">— OSFI + OCC compliance requirements consuming disproportionate non-revenue headcount.</w:t>
      </w:r>
    </w:p>
    <w:p>
      <w:pPr>
        <w:pStyle w:val="ListParagraph"/>
        <w:numPr>
          <w:ilvl w:val="0"/>
          <w:numId w:val="3"/>
        </w:numPr>
        <w:spacing w:after="100"/>
      </w:pPr>
      <w:r>
        <w:rPr>
          <w:b/>
          <w:bCs/>
        </w:rPr>
        <w:t xml:space="preserve">Geographic cost structure from Bank of the West </w:t>
      </w:r>
      <w:r>
        <w:t xml:space="preserve">— California/Colorado premium labor costs diluting U.S. segment efficiency.</w:t>
      </w:r>
    </w:p>
    <w:p>
      <w:r>
        <w:br w:type="page"/>
      </w:r>
    </w:p>
    <w:p>
      <w:pPr>
        <w:pStyle w:val="Heading1"/>
      </w:pPr>
      <w:r>
        <w:t xml:space="preserve">10. Recommended Internal Research Agenda</w:t>
      </w:r>
    </w:p>
    <w:p>
      <w:pPr>
        <w:spacing w:after="120"/>
      </w:pPr>
      <w:r>
        <w:t xml:space="preserve">Based on this external research, the following analyses are recommended using internal BMO workforce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3360"/>
      </w:tblGrid>
      <w:tr>
        <w:tc>
          <w:tcPr>
            <w:tcW w:type="dxa" w:w="4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32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Analysis</w:t>
            </w:r>
          </w:p>
        </w:tc>
        <w:tc>
          <w:tcPr>
            <w:tcW w:type="dxa" w:w="240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Metric</w:t>
            </w:r>
          </w:p>
        </w:tc>
        <w:tc>
          <w:tcPr>
            <w:tcW w:type="dxa" w:w="3360"/>
            <w:tcBorders>
              <w:top w:val="single" w:color="E5E7EB" w:sz="1"/>
              <w:left w:val="single" w:color="E5E7EB" w:sz="1"/>
              <w:bottom w:val="single" w:color="E5E7EB" w:sz="1"/>
              <w:right w:val="single" w:color="E5E7EB" w:sz="1"/>
            </w:tcBorders>
            <w:shd w:fill="0F34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Expected Insight</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Revenue-producing vs. support role ratio, by segment, FY2022-FY2025</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RP:NRP ratio trended</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Quantify mix shift from BoW integration and recovery trajectory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NIE decomposition by workforce component</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 benefits, severance, contractor % of NIE</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Identify which labor cost category drives efficiency gap</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3</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Digital displacement rate by role family</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Roles eliminated / roles maintained</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Measure actual workforce leverage from digital investment</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Voluntary turnover: revenue-producing vs. support</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Turnover rate, cost per departure</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Identify revenue-capacity leakage from attrition</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 Banking workforce productivity analysis</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Revenue/FTE, loans/banker</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Benchmark U.S. segment against Canadian P&amp;C per capita</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Internal mobility rate pre/post acquisition</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Lateral moves + promotions as % of HC</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Assess organizational velocity/agility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7</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AI/digital adoption by segment and role</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Tool usage rates, productivity lift</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Connect digital investment to measurable workforce efficiency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8</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Geographic compensation arbitrage analysis</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Cost/FTE and Rev/FTE by market</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Identify highest-leverage geographic rebalancing opportunities</w:t>
            </w:r>
          </w:p>
        </w:tc>
      </w:tr>
    </w:tbl>
    <w:p>
      <w:pPr>
        <w:spacing w:before="200"/>
      </w:pPr>
    </w:p>
    <w:p>
      <w:pPr>
        <w:spacing w:after="120"/>
      </w:pPr>
      <w:r>
        <w:t xml:space="preserve">The recommended next step is to prioritize these eight analyses, beginning with the revenue-producing role ratio analysis (#1) and the NIE decomposition (#2), as these will provide the highest-signal early findings. Each of these hypotheses is testable with internal data available within the WARLab environment.</w:t>
      </w:r>
    </w:p>
    <w:p>
      <w:r>
        <w:br w:type="page"/>
      </w:r>
    </w:p>
    <w:p>
      <w:pPr>
        <w:pStyle w:val="Heading1"/>
      </w:pPr>
      <w:r>
        <w:t xml:space="preserve">11. Data Sources</w:t>
      </w:r>
    </w:p>
    <w:p>
      <w:pPr>
        <w:spacing w:after="120"/>
      </w:pPr>
      <w:r>
        <w:t xml:space="preserve">All data sourced from publicly available documents as of February 27, 2026. No internal BMO data was used.</w:t>
      </w:r>
    </w:p>
    <w:p>
      <w:pPr>
        <w:pStyle w:val="ListParagraph"/>
        <w:numPr>
          <w:ilvl w:val="0"/>
          <w:numId w:val="2"/>
        </w:numPr>
        <w:spacing w:after="60"/>
      </w:pPr>
      <w:r>
        <w:t xml:space="preserve">BMO Q4 FY2025 Earnings Release (Dec 4, 2025); Q1 FY2026 Earnings Release (Feb 25, 2026)</w:t>
      </w:r>
    </w:p>
    <w:p>
      <w:pPr>
        <w:pStyle w:val="ListParagraph"/>
        <w:numPr>
          <w:ilvl w:val="0"/>
          <w:numId w:val="2"/>
        </w:numPr>
        <w:spacing w:after="60"/>
      </w:pPr>
      <w:r>
        <w:t xml:space="preserve">BMO 2025 Annual Report; BMO 2024 Annual Report</w:t>
      </w:r>
    </w:p>
    <w:p>
      <w:pPr>
        <w:pStyle w:val="ListParagraph"/>
        <w:numPr>
          <w:ilvl w:val="0"/>
          <w:numId w:val="2"/>
        </w:numPr>
        <w:spacing w:after="60"/>
      </w:pPr>
      <w:r>
        <w:t xml:space="preserve">BMO 2024 Talent &amp; Inclusion Supplementary Sustainability Information</w:t>
      </w:r>
    </w:p>
    <w:p>
      <w:pPr>
        <w:pStyle w:val="ListParagraph"/>
        <w:numPr>
          <w:ilvl w:val="0"/>
          <w:numId w:val="2"/>
        </w:numPr>
        <w:spacing w:after="60"/>
      </w:pPr>
      <w:r>
        <w:t xml:space="preserve">RBC 2024 Annual Report &amp; Sustainability Report</w:t>
      </w:r>
    </w:p>
    <w:p>
      <w:pPr>
        <w:pStyle w:val="ListParagraph"/>
        <w:numPr>
          <w:ilvl w:val="0"/>
          <w:numId w:val="2"/>
        </w:numPr>
        <w:spacing w:after="60"/>
      </w:pPr>
      <w:r>
        <w:t xml:space="preserve">TD 2024 Sustainability Report &amp; Performance Data Pack</w:t>
      </w:r>
    </w:p>
    <w:p>
      <w:pPr>
        <w:pStyle w:val="ListParagraph"/>
        <w:numPr>
          <w:ilvl w:val="0"/>
          <w:numId w:val="2"/>
        </w:numPr>
        <w:spacing w:after="60"/>
      </w:pPr>
      <w:r>
        <w:t xml:space="preserve">CIBC 2024 Sustainability Report</w:t>
      </w:r>
    </w:p>
    <w:p>
      <w:pPr>
        <w:pStyle w:val="ListParagraph"/>
        <w:numPr>
          <w:ilvl w:val="0"/>
          <w:numId w:val="2"/>
        </w:numPr>
        <w:spacing w:after="60"/>
      </w:pPr>
      <w:r>
        <w:t xml:space="preserve">Scotiabank 2024 Sustainability Report</w:t>
      </w:r>
    </w:p>
    <w:p>
      <w:pPr>
        <w:pStyle w:val="ListParagraph"/>
        <w:numPr>
          <w:ilvl w:val="0"/>
          <w:numId w:val="2"/>
        </w:numPr>
        <w:spacing w:after="60"/>
      </w:pPr>
      <w:r>
        <w:t xml:space="preserve">National Bank 2024 Sustainability Report</w:t>
      </w:r>
    </w:p>
    <w:p>
      <w:pPr>
        <w:pStyle w:val="ListParagraph"/>
        <w:numPr>
          <w:ilvl w:val="0"/>
          <w:numId w:val="2"/>
        </w:numPr>
        <w:spacing w:after="60"/>
      </w:pPr>
      <w:r>
        <w:t xml:space="preserve">Globe and Mail, American Banker, CSIMarket, MacroTrends, PwC Canada</w:t>
      </w:r>
    </w:p>
    <w:p>
      <w:pPr>
        <w:pStyle w:val="ListParagraph"/>
        <w:numPr>
          <w:ilvl w:val="0"/>
          <w:numId w:val="2"/>
        </w:numPr>
        <w:spacing w:after="60"/>
      </w:pPr>
      <w:r>
        <w:t xml:space="preserve">McKinsey, Accenture, Oliver Wyman banking benchmarks</w:t>
      </w:r>
    </w:p>
    <w:p>
      <w:pPr>
        <w:pStyle w:val="ListParagraph"/>
        <w:numPr>
          <w:ilvl w:val="0"/>
          <w:numId w:val="2"/>
        </w:numPr>
        <w:spacing w:after="60"/>
      </w:pPr>
      <w:r>
        <w:t xml:space="preserve">Bank of Canada Working Paper 2025-1: International Exposure of Canadian Banks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BMO Workforce Analytics Research Briefing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PUBLIC — WARLAB — Prepared by MIA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346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F3460"/>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2026-02-27T23:12:49.098Z</dcterms:created>
  <dcterms:modified xsi:type="dcterms:W3CDTF">2026-02-27T23:12:49.099Z</dcterms:modified>
</cp:coreProperties>
</file>

<file path=docProps/custom.xml><?xml version="1.0" encoding="utf-8"?>
<Properties xmlns="http://schemas.openxmlformats.org/officeDocument/2006/custom-properties" xmlns:vt="http://schemas.openxmlformats.org/officeDocument/2006/docPropsVTypes"/>
</file>