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120"/>
              <w:jc w:val="center"/>
            </w:pPr>
            <w:r>
              <w:rPr>
                <w:rFonts w:ascii="Arial" w:cs="Arial" w:eastAsia="Arial" w:hAnsi="Arial"/>
                <w:b/>
                <w:bCs/>
                <w:color w:val="FFFFFF"/>
                <w:sz w:val="40"/>
                <w:szCs w:val="40"/>
              </w:rPr>
              <w:t xml:space="preserve">WAR Lab</w:t>
            </w:r>
          </w:p>
          <w:p>
            <w:pPr>
              <w:spacing w:after="60"/>
              <w:jc w:val="center"/>
            </w:pPr>
            <w:r>
              <w:rPr>
                <w:rFonts w:ascii="Arial" w:cs="Arial" w:eastAsia="Arial" w:hAnsi="Arial"/>
                <w:color w:val="D6E4F0"/>
                <w:sz w:val="32"/>
                <w:szCs w:val="32"/>
              </w:rPr>
              <w:t xml:space="preserve">Simulated HR Data Migration to AWS</w:t>
            </w:r>
          </w:p>
          <w:p>
            <w:pPr>
              <w:jc w:val="center"/>
            </w:pPr>
            <w:r>
              <w:rPr>
                <w:rFonts w:ascii="Arial" w:cs="Arial" w:eastAsia="Arial" w:hAnsi="Arial"/>
                <w:color w:val="D6E4F0"/>
                <w:sz w:val="24"/>
                <w:szCs w:val="24"/>
              </w:rPr>
              <w:t xml:space="preserve">Executive Summary Report</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404040"/>
                <w:sz w:val="20"/>
                <w:szCs w:val="20"/>
              </w:rPr>
              <w:t xml:space="preserve">Date:</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404040"/>
                <w:sz w:val="20"/>
                <w:szCs w:val="20"/>
              </w:rPr>
              <w:t xml:space="preserve">February 6, 2026</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404040"/>
                <w:sz w:val="20"/>
                <w:szCs w:val="20"/>
              </w:rPr>
              <w:t xml:space="preserve">Prepared for:</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404040"/>
                <w:sz w:val="20"/>
                <w:szCs w:val="20"/>
              </w:rPr>
              <w:t xml:space="preserve">IT Executive Leadership</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404040"/>
                <w:sz w:val="20"/>
                <w:szCs w:val="20"/>
              </w:rPr>
              <w:t xml:space="preserve">Prepared by:</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404040"/>
                <w:sz w:val="20"/>
                <w:szCs w:val="20"/>
              </w:rPr>
              <w:t xml:space="preserve">WAR Lab Analytics Team</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404040"/>
                <w:sz w:val="20"/>
                <w:szCs w:val="20"/>
              </w:rPr>
              <w:t xml:space="preserve">Environment:</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404040"/>
                <w:sz w:val="20"/>
                <w:szCs w:val="20"/>
              </w:rPr>
              <w:t xml:space="preserve">DEV (Amazon Redshift, us-east-1)</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404040"/>
                <w:sz w:val="20"/>
                <w:szCs w:val="20"/>
              </w:rPr>
              <w:t xml:space="preserve">Total Run Time:</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404040"/>
                <w:sz w:val="20"/>
                <w:szCs w:val="20"/>
              </w:rPr>
              <w:t xml:space="preserve">6 days elapsed  (Feb 1 – Feb 6, 2026)</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404040"/>
                <w:sz w:val="20"/>
                <w:szCs w:val="20"/>
              </w:rPr>
              <w:t xml:space="preserve">Status:</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2E7D32"/>
                <w:sz w:val="20"/>
                <w:szCs w:val="20"/>
              </w:rPr>
              <w:t xml:space="preserve">COMPLETE — Pipeline operational, dashboard live</w:t>
            </w:r>
          </w:p>
        </w:tc>
      </w:tr>
    </w:tbl>
    <w:p>
      <w:r>
        <w:br w:type="page"/>
      </w:r>
    </w:p>
    <w:p>
      <w:pPr>
        <w:pStyle w:val="Heading1"/>
      </w:pPr>
      <w:r>
        <w:t xml:space="preserve">1. Executive Overview</w:t>
      </w:r>
    </w:p>
    <w:p>
      <w:pPr>
        <w:spacing w:after="120"/>
      </w:pPr>
      <w:r>
        <w:rPr>
          <w:rFonts w:ascii="Arial" w:cs="Arial" w:eastAsia="Arial" w:hAnsi="Arial"/>
          <w:color w:val="404040"/>
          <w:sz w:val="20"/>
          <w:szCs w:val="20"/>
        </w:rPr>
        <w:t xml:space="preserve">This report documents the end-to-end process of building a simulated HR analytics pipeline on Amazon Web Services (AWS). The project demonstrates a production-grade data warehouse architecture using synthetic Workday-format employee data, from initial data generation through a live executive dashboard.</w:t>
      </w:r>
    </w:p>
    <w:p>
      <w:pPr>
        <w:spacing w:after="120"/>
      </w:pPr>
      <w:r>
        <w:rPr>
          <w:rFonts w:ascii="Arial" w:cs="Arial" w:eastAsia="Arial" w:hAnsi="Arial"/>
          <w:color w:val="404040"/>
          <w:sz w:val="20"/>
          <w:szCs w:val="20"/>
        </w:rPr>
        <w:t xml:space="preserve">The pipeline ingests 12 synthetic HR datasets containing 500 employees and over 6,300 transaction records, stages them in Amazon S3, loads them into Amazon Redshift via AWS Glue ETL jobs, transforms them through a three-layer data warehouse architecture (staging, source, analytics), and surfaces the results through a real-time People Analytics dashboard served via Amazon CloudFront.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2"/>
              <w:left w:val="single" w:color="B4C6E7" w:sz="1"/>
              <w:bottom w:val="single" w:color="B4C6E7" w:sz="1"/>
              <w:right w:val="single" w:color="B4C6E7" w:sz="1"/>
            </w:tcBorders>
            <w:shd w:fill="D6E4F0" w:val="clear"/>
            <w:tcMar>
              <w:top w:type="dxa" w:w="120"/>
              <w:left w:type="dxa" w:w="80"/>
              <w:bottom w:type="dxa" w:w="120"/>
              <w:right w:type="dxa" w:w="80"/>
            </w:tcMar>
          </w:tcPr>
          <w:p>
            <w:pPr>
              <w:spacing w:after="40"/>
              <w:jc w:val="center"/>
            </w:pPr>
            <w:r>
              <w:rPr>
                <w:rFonts w:ascii="Arial" w:cs="Arial" w:eastAsia="Arial" w:hAnsi="Arial"/>
                <w:b/>
                <w:bCs/>
                <w:color w:val="1B2A4A"/>
                <w:sz w:val="28"/>
                <w:szCs w:val="28"/>
              </w:rPr>
              <w:t xml:space="preserve">429</w:t>
            </w:r>
          </w:p>
          <w:p>
            <w:pPr>
              <w:jc w:val="center"/>
            </w:pPr>
            <w:r>
              <w:rPr>
                <w:rFonts w:ascii="Arial" w:cs="Arial" w:eastAsia="Arial" w:hAnsi="Arial"/>
                <w:color w:val="404040"/>
                <w:sz w:val="16"/>
                <w:szCs w:val="16"/>
              </w:rPr>
              <w:t xml:space="preserve">Active Headcount</w:t>
            </w:r>
          </w:p>
        </w:tc>
        <w:tc>
          <w:tcPr>
            <w:tcW w:type="dxa" w:w="2340"/>
            <w:tcBorders>
              <w:top w:val="single" w:color="2E75B6" w:sz="2"/>
              <w:left w:val="single" w:color="B4C6E7" w:sz="1"/>
              <w:bottom w:val="single" w:color="B4C6E7" w:sz="1"/>
              <w:right w:val="single" w:color="B4C6E7" w:sz="1"/>
            </w:tcBorders>
            <w:shd w:fill="D6E4F0" w:val="clear"/>
            <w:tcMar>
              <w:top w:type="dxa" w:w="120"/>
              <w:left w:type="dxa" w:w="80"/>
              <w:bottom w:type="dxa" w:w="120"/>
              <w:right w:type="dxa" w:w="80"/>
            </w:tcMar>
          </w:tcPr>
          <w:p>
            <w:pPr>
              <w:spacing w:after="40"/>
              <w:jc w:val="center"/>
            </w:pPr>
            <w:r>
              <w:rPr>
                <w:rFonts w:ascii="Arial" w:cs="Arial" w:eastAsia="Arial" w:hAnsi="Arial"/>
                <w:b/>
                <w:bCs/>
                <w:color w:val="1B2A4A"/>
                <w:sz w:val="28"/>
                <w:szCs w:val="28"/>
              </w:rPr>
              <w:t xml:space="preserve">2,751</w:t>
            </w:r>
          </w:p>
          <w:p>
            <w:pPr>
              <w:jc w:val="center"/>
            </w:pPr>
            <w:r>
              <w:rPr>
                <w:rFonts w:ascii="Arial" w:cs="Arial" w:eastAsia="Arial" w:hAnsi="Arial"/>
                <w:color w:val="404040"/>
                <w:sz w:val="16"/>
                <w:szCs w:val="16"/>
              </w:rPr>
              <w:t xml:space="preserve">Job Movements</w:t>
            </w:r>
          </w:p>
        </w:tc>
        <w:tc>
          <w:tcPr>
            <w:tcW w:type="dxa" w:w="2340"/>
            <w:tcBorders>
              <w:top w:val="single" w:color="2E75B6" w:sz="2"/>
              <w:left w:val="single" w:color="B4C6E7" w:sz="1"/>
              <w:bottom w:val="single" w:color="B4C6E7" w:sz="1"/>
              <w:right w:val="single" w:color="B4C6E7" w:sz="1"/>
            </w:tcBorders>
            <w:shd w:fill="D6E4F0" w:val="clear"/>
            <w:tcMar>
              <w:top w:type="dxa" w:w="120"/>
              <w:left w:type="dxa" w:w="80"/>
              <w:bottom w:type="dxa" w:w="120"/>
              <w:right w:type="dxa" w:w="80"/>
            </w:tcMar>
          </w:tcPr>
          <w:p>
            <w:pPr>
              <w:spacing w:after="40"/>
              <w:jc w:val="center"/>
            </w:pPr>
            <w:r>
              <w:rPr>
                <w:rFonts w:ascii="Arial" w:cs="Arial" w:eastAsia="Arial" w:hAnsi="Arial"/>
                <w:b/>
                <w:bCs/>
                <w:color w:val="1B2A4A"/>
                <w:sz w:val="28"/>
                <w:szCs w:val="28"/>
              </w:rPr>
              <w:t xml:space="preserve">$175,344</w:t>
            </w:r>
          </w:p>
          <w:p>
            <w:pPr>
              <w:jc w:val="center"/>
            </w:pPr>
            <w:r>
              <w:rPr>
                <w:rFonts w:ascii="Arial" w:cs="Arial" w:eastAsia="Arial" w:hAnsi="Arial"/>
                <w:color w:val="404040"/>
                <w:sz w:val="16"/>
                <w:szCs w:val="16"/>
              </w:rPr>
              <w:t xml:space="preserve">Avg Base Pay</w:t>
            </w:r>
          </w:p>
        </w:tc>
        <w:tc>
          <w:tcPr>
            <w:tcW w:type="dxa" w:w="2340"/>
            <w:tcBorders>
              <w:top w:val="single" w:color="2E75B6" w:sz="2"/>
              <w:left w:val="single" w:color="B4C6E7" w:sz="1"/>
              <w:bottom w:val="single" w:color="B4C6E7" w:sz="1"/>
              <w:right w:val="single" w:color="B4C6E7" w:sz="1"/>
            </w:tcBorders>
            <w:shd w:fill="D6E4F0" w:val="clear"/>
            <w:tcMar>
              <w:top w:type="dxa" w:w="120"/>
              <w:left w:type="dxa" w:w="80"/>
              <w:bottom w:type="dxa" w:w="120"/>
              <w:right w:type="dxa" w:w="80"/>
            </w:tcMar>
          </w:tcPr>
          <w:p>
            <w:pPr>
              <w:spacing w:after="40"/>
              <w:jc w:val="center"/>
            </w:pPr>
            <w:r>
              <w:rPr>
                <w:rFonts w:ascii="Arial" w:cs="Arial" w:eastAsia="Arial" w:hAnsi="Arial"/>
                <w:b/>
                <w:bCs/>
                <w:color w:val="1B2A4A"/>
                <w:sz w:val="28"/>
                <w:szCs w:val="28"/>
              </w:rPr>
              <w:t xml:space="preserve">15</w:t>
            </w:r>
          </w:p>
          <w:p>
            <w:pPr>
              <w:jc w:val="center"/>
            </w:pPr>
            <w:r>
              <w:rPr>
                <w:rFonts w:ascii="Arial" w:cs="Arial" w:eastAsia="Arial" w:hAnsi="Arial"/>
                <w:color w:val="404040"/>
                <w:sz w:val="16"/>
                <w:szCs w:val="16"/>
              </w:rPr>
              <w:t xml:space="preserve">Issues Resolved</w:t>
            </w:r>
          </w:p>
        </w:tc>
      </w:tr>
    </w:tbl>
    <w:p>
      <w:pPr>
        <w:spacing w:after="60"/>
      </w:pPr>
    </w:p>
    <w:p>
      <w:pPr>
        <w:pStyle w:val="Heading1"/>
      </w:pPr>
      <w:r>
        <w:t xml:space="preserve">2. Processing Timeline</w:t>
      </w:r>
    </w:p>
    <w:p>
      <w:pPr>
        <w:spacing w:after="120"/>
      </w:pPr>
      <w:r>
        <w:rPr>
          <w:rFonts w:ascii="Arial" w:cs="Arial" w:eastAsia="Arial" w:hAnsi="Arial"/>
          <w:color w:val="404040"/>
          <w:sz w:val="20"/>
          <w:szCs w:val="20"/>
        </w:rPr>
        <w:t xml:space="preserve">The project spanned six calendar days from initial repository creation to a fully validated, live dashboard. The following table shows each major phase with its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22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356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Activities</w:t>
            </w:r>
          </w:p>
        </w:tc>
        <w:tc>
          <w:tcPr>
            <w:tcW w:type="dxa" w:w="22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Duration</w:t>
            </w:r>
          </w:p>
        </w:tc>
      </w:tr>
      <w:tr>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Feb 1</w:t>
            </w:r>
          </w:p>
        </w:tc>
        <w:tc>
          <w:tcPr>
            <w:tcW w:type="dxa" w:w="2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Project Setup</w:t>
            </w:r>
          </w:p>
        </w:tc>
        <w:tc>
          <w:tcPr>
            <w:tcW w:type="dxa" w:w="35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Repository creation, directory structure, initial README</w:t>
            </w:r>
          </w:p>
        </w:tc>
        <w:tc>
          <w:tcPr>
            <w:tcW w:type="dxa" w:w="2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1 day</w:t>
            </w:r>
          </w:p>
        </w:tc>
      </w:tr>
      <w:tr>
        <w:tc>
          <w:tcPr>
            <w:tcW w:type="dxa" w:w="14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Feb 2</w:t>
            </w:r>
          </w:p>
        </w:tc>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Data Generation</w:t>
            </w:r>
          </w:p>
        </w:tc>
        <w:tc>
          <w:tcPr>
            <w:tcW w:type="dxa" w:w="3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Python generator built; 12 synthetic CSV feeds produced (6,356 rows across 500 employees)</w:t>
            </w:r>
          </w:p>
        </w:tc>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1 day</w:t>
            </w:r>
          </w:p>
        </w:tc>
      </w:tr>
      <w:tr>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Feb 5</w:t>
            </w:r>
          </w:p>
        </w:tc>
        <w:tc>
          <w:tcPr>
            <w:tcW w:type="dxa" w:w="2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AWS Environment</w:t>
            </w:r>
          </w:p>
        </w:tc>
        <w:tc>
          <w:tcPr>
            <w:tcW w:type="dxa" w:w="35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Redshift cluster provisioned, S3 buckets created, IAM roles configured, DDL scripts deployed, L1 COPY loads executed</w:t>
            </w:r>
          </w:p>
        </w:tc>
        <w:tc>
          <w:tcPr>
            <w:tcW w:type="dxa" w:w="2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1 day</w:t>
            </w:r>
          </w:p>
        </w:tc>
      </w:tr>
      <w:tr>
        <w:tc>
          <w:tcPr>
            <w:tcW w:type="dxa" w:w="14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Feb 5–6</w:t>
            </w:r>
          </w:p>
        </w:tc>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Pipeline Deploy</w:t>
            </w:r>
          </w:p>
        </w:tc>
        <w:tc>
          <w:tcPr>
            <w:tcW w:type="dxa" w:w="3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L3 source loads, dimension SCD2 loads, fact table loads, Glue workflow configured (12 ETL jobs)</w:t>
            </w:r>
          </w:p>
        </w:tc>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12 hours</w:t>
            </w:r>
          </w:p>
        </w:tc>
      </w:tr>
      <w:tr>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Feb 6</w:t>
            </w:r>
          </w:p>
        </w:tc>
        <w:tc>
          <w:tcPr>
            <w:tcW w:type="dxa" w:w="2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Debugging</w:t>
            </w:r>
          </w:p>
        </w:tc>
        <w:tc>
          <w:tcPr>
            <w:tcW w:type="dxa" w:w="35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15 issues found and resolved across SQL compatibility, data quality, and Lambda queries</w:t>
            </w:r>
          </w:p>
        </w:tc>
        <w:tc>
          <w:tcPr>
            <w:tcW w:type="dxa" w:w="2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8 hours</w:t>
            </w:r>
          </w:p>
        </w:tc>
      </w:tr>
      <w:tr>
        <w:tc>
          <w:tcPr>
            <w:tcW w:type="dxa" w:w="14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Feb 6</w:t>
            </w:r>
          </w:p>
        </w:tc>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Dashboard</w:t>
            </w:r>
          </w:p>
        </w:tc>
        <w:tc>
          <w:tcPr>
            <w:tcW w:type="dxa" w:w="3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Lambda extractor deployed, 5 data extractions run, CloudFront distribution live, full validation complete</w:t>
            </w:r>
          </w:p>
        </w:tc>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4 hours</w:t>
            </w:r>
          </w:p>
        </w:tc>
      </w:tr>
    </w:tbl>
    <w:p>
      <w:pPr>
        <w:spacing w:after="60"/>
      </w:pPr>
    </w:p>
    <w:p>
      <w:pPr>
        <w:pStyle w:val="Heading1"/>
      </w:pPr>
      <w:r>
        <w:t xml:space="preserve">3. End-to-End Process</w:t>
      </w:r>
    </w:p>
    <w:p>
      <w:pPr>
        <w:pStyle w:val="Heading2"/>
      </w:pPr>
      <w:r>
        <w:t xml:space="preserve">3.1  Synthetic Data Generation</w:t>
      </w:r>
    </w:p>
    <w:p>
      <w:pPr>
        <w:spacing w:after="120"/>
      </w:pPr>
      <w:r>
        <w:rPr>
          <w:rFonts w:ascii="Arial" w:cs="Arial" w:eastAsia="Arial" w:hAnsi="Arial"/>
          <w:color w:val="404040"/>
          <w:sz w:val="20"/>
          <w:szCs w:val="20"/>
        </w:rPr>
        <w:t xml:space="preserve">A custom Python generator (generate_all_feeds.py) produced 12 pipe-delimited CSV files simulating a daily Workday HR data extract. The generator uses a fixed random seed (42) for full reproducibility. The 12 datasets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3260"/>
        <w:gridCol w:w="1300"/>
        <w:gridCol w:w="1300"/>
      </w:tblGrid>
      <w:tr>
        <w:tc>
          <w:tcPr>
            <w:tcW w:type="dxa" w:w="8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7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Name</w:t>
            </w:r>
          </w:p>
        </w:tc>
        <w:tc>
          <w:tcPr>
            <w:tcW w:type="dxa" w:w="326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3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Rows</w:t>
            </w:r>
          </w:p>
        </w:tc>
        <w:tc>
          <w:tcPr>
            <w:tcW w:type="dxa" w:w="13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Size</w:t>
            </w:r>
          </w:p>
        </w:tc>
      </w:tr>
      <w:tr>
        <w:tc>
          <w:tcPr>
            <w:tcW w:type="dxa" w:w="8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w:t>
            </w:r>
          </w:p>
        </w:tc>
        <w:tc>
          <w:tcPr>
            <w:tcW w:type="dxa" w:w="27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dly_company</w:t>
            </w:r>
          </w:p>
        </w:tc>
        <w:tc>
          <w:tcPr>
            <w:tcW w:type="dxa" w:w="32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Company master data</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21</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1.4 KB</w:t>
            </w:r>
          </w:p>
        </w:tc>
      </w:tr>
      <w:tr>
        <w:tc>
          <w:tcPr>
            <w:tcW w:type="dxa" w:w="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2</w:t>
            </w:r>
          </w:p>
        </w:tc>
        <w:tc>
          <w:tcPr>
            <w:tcW w:type="dxa" w:w="27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dly_cost_center</w:t>
            </w:r>
          </w:p>
        </w:tc>
        <w:tc>
          <w:tcPr>
            <w:tcW w:type="dxa" w:w="32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Cost center hierarchy</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101</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9.0 KB</w:t>
            </w:r>
          </w:p>
        </w:tc>
      </w:tr>
      <w:tr>
        <w:tc>
          <w:tcPr>
            <w:tcW w:type="dxa" w:w="8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w:t>
            </w:r>
          </w:p>
        </w:tc>
        <w:tc>
          <w:tcPr>
            <w:tcW w:type="dxa" w:w="27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dly_department_hierarchy</w:t>
            </w:r>
          </w:p>
        </w:tc>
        <w:tc>
          <w:tcPr>
            <w:tcW w:type="dxa" w:w="32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Department structure with managers</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201</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23 KB</w:t>
            </w:r>
          </w:p>
        </w:tc>
      </w:tr>
      <w:tr>
        <w:tc>
          <w:tcPr>
            <w:tcW w:type="dxa" w:w="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4</w:t>
            </w:r>
          </w:p>
        </w:tc>
        <w:tc>
          <w:tcPr>
            <w:tcW w:type="dxa" w:w="27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dly_grade_profile</w:t>
            </w:r>
          </w:p>
        </w:tc>
        <w:tc>
          <w:tcPr>
            <w:tcW w:type="dxa" w:w="32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Compensation grades and salary ranges</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51</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5.8 KB</w:t>
            </w:r>
          </w:p>
        </w:tc>
      </w:tr>
      <w:tr>
        <w:tc>
          <w:tcPr>
            <w:tcW w:type="dxa" w:w="8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5</w:t>
            </w:r>
          </w:p>
        </w:tc>
        <w:tc>
          <w:tcPr>
            <w:tcW w:type="dxa" w:w="27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dly_job_classification</w:t>
            </w:r>
          </w:p>
        </w:tc>
        <w:tc>
          <w:tcPr>
            <w:tcW w:type="dxa" w:w="32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Job classifications and codes</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201</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23 KB</w:t>
            </w:r>
          </w:p>
        </w:tc>
      </w:tr>
      <w:tr>
        <w:tc>
          <w:tcPr>
            <w:tcW w:type="dxa" w:w="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6</w:t>
            </w:r>
          </w:p>
        </w:tc>
        <w:tc>
          <w:tcPr>
            <w:tcW w:type="dxa" w:w="27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dly_job_profile</w:t>
            </w:r>
          </w:p>
        </w:tc>
        <w:tc>
          <w:tcPr>
            <w:tcW w:type="dxa" w:w="32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Job profiles with family and levels</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201</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74 KB</w:t>
            </w:r>
          </w:p>
        </w:tc>
      </w:tr>
      <w:tr>
        <w:tc>
          <w:tcPr>
            <w:tcW w:type="dxa" w:w="8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7</w:t>
            </w:r>
          </w:p>
        </w:tc>
        <w:tc>
          <w:tcPr>
            <w:tcW w:type="dxa" w:w="27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dly_location</w:t>
            </w:r>
          </w:p>
        </w:tc>
        <w:tc>
          <w:tcPr>
            <w:tcW w:type="dxa" w:w="32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Work locations and addresses</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101</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18 KB</w:t>
            </w:r>
          </w:p>
        </w:tc>
      </w:tr>
      <w:tr>
        <w:tc>
          <w:tcPr>
            <w:tcW w:type="dxa" w:w="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8</w:t>
            </w:r>
          </w:p>
        </w:tc>
        <w:tc>
          <w:tcPr>
            <w:tcW w:type="dxa" w:w="27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dly_positions</w:t>
            </w:r>
          </w:p>
        </w:tc>
        <w:tc>
          <w:tcPr>
            <w:tcW w:type="dxa" w:w="32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Job positions and assignments</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601</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69 KB</w:t>
            </w:r>
          </w:p>
        </w:tc>
      </w:tr>
      <w:tr>
        <w:tc>
          <w:tcPr>
            <w:tcW w:type="dxa" w:w="8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9</w:t>
            </w:r>
          </w:p>
        </w:tc>
        <w:tc>
          <w:tcPr>
            <w:tcW w:type="dxa" w:w="27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dly_worker_job</w:t>
            </w:r>
          </w:p>
        </w:tc>
        <w:tc>
          <w:tcPr>
            <w:tcW w:type="dxa" w:w="32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Main worker/job transaction records</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2,043</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1.2 MB</w:t>
            </w:r>
          </w:p>
        </w:tc>
      </w:tr>
      <w:tr>
        <w:tc>
          <w:tcPr>
            <w:tcW w:type="dxa" w:w="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10</w:t>
            </w:r>
          </w:p>
        </w:tc>
        <w:tc>
          <w:tcPr>
            <w:tcW w:type="dxa" w:w="27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dly_worker_organization</w:t>
            </w:r>
          </w:p>
        </w:tc>
        <w:tc>
          <w:tcPr>
            <w:tcW w:type="dxa" w:w="32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Worker organization assignments</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1,501</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158 KB</w:t>
            </w:r>
          </w:p>
        </w:tc>
      </w:tr>
      <w:tr>
        <w:tc>
          <w:tcPr>
            <w:tcW w:type="dxa" w:w="8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11</w:t>
            </w:r>
          </w:p>
        </w:tc>
        <w:tc>
          <w:tcPr>
            <w:tcW w:type="dxa" w:w="27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dly_worker_compensation</w:t>
            </w:r>
          </w:p>
        </w:tc>
        <w:tc>
          <w:tcPr>
            <w:tcW w:type="dxa" w:w="32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Employee compensation history</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1,261</w:t>
            </w:r>
          </w:p>
        </w:tc>
        <w:tc>
          <w:tcPr>
            <w:tcW w:type="dxa" w:w="13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205 KB</w:t>
            </w:r>
          </w:p>
        </w:tc>
      </w:tr>
      <w:tr>
        <w:tc>
          <w:tcPr>
            <w:tcW w:type="dxa" w:w="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12</w:t>
            </w:r>
          </w:p>
        </w:tc>
        <w:tc>
          <w:tcPr>
            <w:tcW w:type="dxa" w:w="27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dly_rescinded</w:t>
            </w:r>
          </w:p>
        </w:tc>
        <w:tc>
          <w:tcPr>
            <w:tcW w:type="dxa" w:w="32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Rescinded transaction tracking</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74</w:t>
            </w:r>
          </w:p>
        </w:tc>
        <w:tc>
          <w:tcPr>
            <w:tcW w:type="dxa" w:w="13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3.1 KB</w:t>
            </w:r>
          </w:p>
        </w:tc>
      </w:tr>
      <w:tr>
        <w:tc>
          <w:tcPr>
            <w:tcW w:type="dxa" w:w="800"/>
            <w:tcBorders>
              <w:top w:val="single" w:color="B4C6E7" w:sz="1"/>
              <w:left w:val="single" w:color="B4C6E7" w:sz="1"/>
              <w:bottom w:val="single" w:color="B4C6E7" w:sz="1"/>
              <w:right w:val="single" w:color="B4C6E7" w:sz="1"/>
            </w:tcBorders>
            <w:shd w:fill="D6E4F0" w:val="clear"/>
            <w:tcMar>
              <w:top w:type="dxa" w:w="60"/>
              <w:left w:type="dxa" w:w="100"/>
              <w:bottom w:type="dxa" w:w="60"/>
              <w:right w:type="dxa" w:w="100"/>
            </w:tcMar>
          </w:tcPr>
          <w:p/>
        </w:tc>
        <w:tc>
          <w:tcPr>
            <w:tcW w:type="dxa" w:w="2700"/>
            <w:gridSpan w:val="2"/>
            <w:tcBorders>
              <w:top w:val="single" w:color="B4C6E7" w:sz="1"/>
              <w:left w:val="single" w:color="B4C6E7" w:sz="1"/>
              <w:bottom w:val="single" w:color="B4C6E7" w:sz="1"/>
              <w:right w:val="single" w:color="B4C6E7" w:sz="1"/>
            </w:tcBorders>
            <w:shd w:fill="D6E4F0" w:val="clear"/>
            <w:tcMar>
              <w:top w:type="dxa" w:w="60"/>
              <w:left w:type="dxa" w:w="100"/>
              <w:bottom w:type="dxa" w:w="60"/>
              <w:right w:type="dxa" w:w="100"/>
            </w:tcMar>
          </w:tcPr>
          <w:p>
            <w:r>
              <w:rPr>
                <w:rFonts w:ascii="Arial" w:cs="Arial" w:eastAsia="Arial" w:hAnsi="Arial"/>
                <w:b/>
                <w:bCs/>
                <w:color w:val="1B2A4A"/>
                <w:sz w:val="18"/>
                <w:szCs w:val="18"/>
              </w:rPr>
              <w:t xml:space="preserve">Total (12 datasets)</w:t>
            </w:r>
          </w:p>
        </w:tc>
        <w:tc>
          <w:tcPr>
            <w:tcW w:type="dxa" w:w="3260"/>
            <w:tcBorders>
              <w:top w:val="single" w:color="B4C6E7" w:sz="1"/>
              <w:left w:val="single" w:color="B4C6E7" w:sz="1"/>
              <w:bottom w:val="single" w:color="B4C6E7" w:sz="1"/>
              <w:right w:val="single" w:color="B4C6E7" w:sz="1"/>
            </w:tcBorders>
            <w:shd w:fill="D6E4F0" w:val="clear"/>
            <w:tcMar>
              <w:top w:type="dxa" w:w="60"/>
              <w:left w:type="dxa" w:w="100"/>
              <w:bottom w:type="dxa" w:w="60"/>
              <w:right w:type="dxa" w:w="100"/>
            </w:tcMar>
          </w:tcPr>
          <w:p/>
        </w:tc>
        <w:tc>
          <w:tcPr>
            <w:tcW w:type="dxa" w:w="1300"/>
            <w:tcBorders>
              <w:top w:val="single" w:color="B4C6E7" w:sz="1"/>
              <w:left w:val="single" w:color="B4C6E7" w:sz="1"/>
              <w:bottom w:val="single" w:color="B4C6E7" w:sz="1"/>
              <w:right w:val="single" w:color="B4C6E7" w:sz="1"/>
            </w:tcBorders>
            <w:shd w:fill="D6E4F0" w:val="clear"/>
            <w:tcMar>
              <w:top w:type="dxa" w:w="60"/>
              <w:left w:type="dxa" w:w="100"/>
              <w:bottom w:type="dxa" w:w="60"/>
              <w:right w:type="dxa" w:w="100"/>
            </w:tcMar>
          </w:tcPr>
          <w:p>
            <w:pPr>
              <w:jc w:val="right"/>
            </w:pPr>
            <w:r>
              <w:rPr>
                <w:rFonts w:ascii="Arial" w:cs="Arial" w:eastAsia="Arial" w:hAnsi="Arial"/>
                <w:b/>
                <w:bCs/>
                <w:color w:val="1B2A4A"/>
                <w:sz w:val="18"/>
                <w:szCs w:val="18"/>
              </w:rPr>
              <w:t xml:space="preserve">6,356</w:t>
            </w:r>
          </w:p>
        </w:tc>
        <w:tc>
          <w:tcPr>
            <w:tcW w:type="dxa" w:w="1300"/>
            <w:tcBorders>
              <w:top w:val="single" w:color="B4C6E7" w:sz="1"/>
              <w:left w:val="single" w:color="B4C6E7" w:sz="1"/>
              <w:bottom w:val="single" w:color="B4C6E7" w:sz="1"/>
              <w:right w:val="single" w:color="B4C6E7" w:sz="1"/>
            </w:tcBorders>
            <w:shd w:fill="D6E4F0" w:val="clear"/>
            <w:tcMar>
              <w:top w:type="dxa" w:w="60"/>
              <w:left w:type="dxa" w:w="100"/>
              <w:bottom w:type="dxa" w:w="60"/>
              <w:right w:type="dxa" w:w="100"/>
            </w:tcMar>
          </w:tcPr>
          <w:p>
            <w:pPr>
              <w:jc w:val="right"/>
            </w:pPr>
            <w:r>
              <w:rPr>
                <w:rFonts w:ascii="Arial" w:cs="Arial" w:eastAsia="Arial" w:hAnsi="Arial"/>
                <w:b/>
                <w:bCs/>
                <w:color w:val="1B2A4A"/>
                <w:sz w:val="18"/>
                <w:szCs w:val="18"/>
              </w:rPr>
              <w:t xml:space="preserve">1.6 MB</w:t>
            </w:r>
          </w:p>
        </w:tc>
      </w:tr>
    </w:tbl>
    <w:p>
      <w:pPr>
        <w:spacing w:after="60"/>
      </w:pPr>
    </w:p>
    <w:p>
      <w:pPr>
        <w:pStyle w:val="Heading2"/>
      </w:pPr>
      <w:r>
        <w:t xml:space="preserve">3.2  AWS Environment Configuration</w:t>
      </w:r>
    </w:p>
    <w:p>
      <w:pPr>
        <w:spacing w:after="120"/>
      </w:pPr>
      <w:r>
        <w:rPr>
          <w:rFonts w:ascii="Arial" w:cs="Arial" w:eastAsia="Arial" w:hAnsi="Arial"/>
          <w:color w:val="404040"/>
          <w:sz w:val="20"/>
          <w:szCs w:val="20"/>
        </w:rPr>
        <w:t xml:space="preserve">The following AWS services were provisioned and configured in the us-east-1 region:</w:t>
      </w:r>
    </w:p>
    <w:p>
      <w:pPr>
        <w:pStyle w:val="ListParagraph"/>
        <w:numPr>
          <w:ilvl w:val="0"/>
          <w:numId w:val="2"/>
        </w:numPr>
        <w:spacing w:after="60"/>
      </w:pPr>
      <w:r>
        <w:rPr>
          <w:rFonts w:ascii="Arial" w:cs="Arial" w:eastAsia="Arial" w:hAnsi="Arial"/>
          <w:color w:val="404040"/>
          <w:sz w:val="20"/>
          <w:szCs w:val="20"/>
        </w:rPr>
        <w:t xml:space="preserve">Amazon Redshift — Single-node cluster (warlab-hr-datamart) with database dev, schemas l1_workday and l3_workday</w:t>
      </w:r>
    </w:p>
    <w:p>
      <w:pPr>
        <w:pStyle w:val="ListParagraph"/>
        <w:numPr>
          <w:ilvl w:val="0"/>
          <w:numId w:val="2"/>
        </w:numPr>
        <w:spacing w:after="60"/>
      </w:pPr>
      <w:r>
        <w:rPr>
          <w:rFonts w:ascii="Arial" w:cs="Arial" w:eastAsia="Arial" w:hAnsi="Arial"/>
          <w:color w:val="404040"/>
          <w:sz w:val="20"/>
          <w:szCs w:val="20"/>
        </w:rPr>
        <w:t xml:space="preserve">Amazon S3 — Two buckets: warlab-hr-datamart-dev (data staging) and warlab-hr-dashboard (dashboard hosting)</w:t>
      </w:r>
    </w:p>
    <w:p>
      <w:pPr>
        <w:pStyle w:val="ListParagraph"/>
        <w:numPr>
          <w:ilvl w:val="0"/>
          <w:numId w:val="2"/>
        </w:numPr>
        <w:spacing w:after="60"/>
      </w:pPr>
      <w:r>
        <w:rPr>
          <w:rFonts w:ascii="Arial" w:cs="Arial" w:eastAsia="Arial" w:hAnsi="Arial"/>
          <w:color w:val="404040"/>
          <w:sz w:val="20"/>
          <w:szCs w:val="20"/>
        </w:rPr>
        <w:t xml:space="preserve">AWS Glue — 12 parameterized ETL jobs with a scheduled workflow (warlab-hr-l1-load), Glue 4.0, Python 3</w:t>
      </w:r>
    </w:p>
    <w:p>
      <w:pPr>
        <w:pStyle w:val="ListParagraph"/>
        <w:numPr>
          <w:ilvl w:val="0"/>
          <w:numId w:val="2"/>
        </w:numPr>
        <w:spacing w:after="60"/>
      </w:pPr>
      <w:r>
        <w:rPr>
          <w:rFonts w:ascii="Arial" w:cs="Arial" w:eastAsia="Arial" w:hAnsi="Arial"/>
          <w:color w:val="404040"/>
          <w:sz w:val="20"/>
          <w:szCs w:val="20"/>
        </w:rPr>
        <w:t xml:space="preserve">AWS Lambda — Two functions: warlab-dashboard-extractor (data extraction) and warlab-cloudwatch-publisher (metrics)</w:t>
      </w:r>
    </w:p>
    <w:p>
      <w:pPr>
        <w:pStyle w:val="ListParagraph"/>
        <w:numPr>
          <w:ilvl w:val="0"/>
          <w:numId w:val="2"/>
        </w:numPr>
        <w:spacing w:after="60"/>
      </w:pPr>
      <w:r>
        <w:rPr>
          <w:rFonts w:ascii="Arial" w:cs="Arial" w:eastAsia="Arial" w:hAnsi="Arial"/>
          <w:color w:val="404040"/>
          <w:sz w:val="20"/>
          <w:szCs w:val="20"/>
        </w:rPr>
        <w:t xml:space="preserve">Amazon CloudFront — Distribution E3RGFB9ROIS4KH serving the dashboard at d142tokwl5q6ig.cloudfront.net</w:t>
      </w:r>
    </w:p>
    <w:p>
      <w:pPr>
        <w:pStyle w:val="ListParagraph"/>
        <w:numPr>
          <w:ilvl w:val="0"/>
          <w:numId w:val="2"/>
        </w:numPr>
        <w:spacing w:after="60"/>
      </w:pPr>
      <w:r>
        <w:rPr>
          <w:rFonts w:ascii="Arial" w:cs="Arial" w:eastAsia="Arial" w:hAnsi="Arial"/>
          <w:color w:val="404040"/>
          <w:sz w:val="20"/>
          <w:szCs w:val="20"/>
        </w:rPr>
        <w:t xml:space="preserve">IAM Roles — RedshiftS3ReadRole, WarLabGlueServiceRole, WarLabLambdaDashboardRole with least-privilege policies</w:t>
      </w:r>
    </w:p>
    <w:p>
      <w:pPr>
        <w:spacing w:after="60"/>
      </w:pPr>
    </w:p>
    <w:p>
      <w:pPr>
        <w:pStyle w:val="Heading2"/>
      </w:pPr>
      <w:r>
        <w:t xml:space="preserve">3.3  Data Migration: S3 to Redshift</w:t>
      </w:r>
    </w:p>
    <w:p>
      <w:pPr>
        <w:spacing w:after="120"/>
      </w:pPr>
      <w:r>
        <w:rPr>
          <w:rFonts w:ascii="Arial" w:cs="Arial" w:eastAsia="Arial" w:hAnsi="Arial"/>
          <w:color w:val="404040"/>
          <w:sz w:val="20"/>
          <w:szCs w:val="20"/>
        </w:rPr>
        <w:t xml:space="preserve">The data migration follows a three-layer architecture designed for auditability, reprocessing, and analytics performance:</w:t>
      </w:r>
    </w:p>
    <w:p>
      <w:pPr>
        <w:spacing w:after="80"/>
      </w:pPr>
      <w:r>
        <w:rPr>
          <w:rFonts w:ascii="Arial" w:cs="Arial" w:eastAsia="Arial" w:hAnsi="Arial"/>
          <w:b/>
          <w:bCs/>
          <w:color w:val="404040"/>
          <w:sz w:val="20"/>
          <w:szCs w:val="20"/>
        </w:rPr>
        <w:t xml:space="preserve">Layer 1 — Staging (l1_workday): </w:t>
      </w:r>
      <w:r>
        <w:rPr>
          <w:rFonts w:ascii="Arial" w:cs="Arial" w:eastAsia="Arial" w:hAnsi="Arial"/>
          <w:color w:val="404040"/>
          <w:sz w:val="20"/>
          <w:szCs w:val="20"/>
        </w:rPr>
        <w:t xml:space="preserve">12 CSV files uploaded to S3 in partitioned paths (s3://warlab-hr-datamart-dev/workday/hrdp/{feed_id}/dt={date}/), then loaded into Redshift using COPY commands with IAM role-based S3 access. This layer preserves source data with full fidelity.</w:t>
      </w:r>
    </w:p>
    <w:p>
      <w:pPr>
        <w:spacing w:after="80"/>
      </w:pPr>
      <w:r>
        <w:rPr>
          <w:rFonts w:ascii="Arial" w:cs="Arial" w:eastAsia="Arial" w:hAnsi="Arial"/>
          <w:b/>
          <w:bCs/>
          <w:color w:val="404040"/>
          <w:sz w:val="20"/>
          <w:szCs w:val="20"/>
        </w:rPr>
        <w:t xml:space="preserve">Layer 3 Source — Mapping (l3_workday): </w:t>
      </w:r>
      <w:r>
        <w:rPr>
          <w:rFonts w:ascii="Arial" w:cs="Arial" w:eastAsia="Arial" w:hAnsi="Arial"/>
          <w:color w:val="404040"/>
          <w:sz w:val="20"/>
          <w:szCs w:val="20"/>
        </w:rPr>
        <w:t xml:space="preserve">Source views transform and cleanse the L1 data, applying business rules, data type conversions, and key mappings to prepare data for the dimensional model.</w:t>
      </w:r>
    </w:p>
    <w:p>
      <w:pPr>
        <w:spacing w:after="80"/>
      </w:pPr>
      <w:r>
        <w:rPr>
          <w:rFonts w:ascii="Arial" w:cs="Arial" w:eastAsia="Arial" w:hAnsi="Arial"/>
          <w:b/>
          <w:bCs/>
          <w:color w:val="404040"/>
          <w:sz w:val="20"/>
          <w:szCs w:val="20"/>
        </w:rPr>
        <w:t xml:space="preserve">Layer 3 Star — Analytics (l3_workday): </w:t>
      </w:r>
      <w:r>
        <w:rPr>
          <w:rFonts w:ascii="Arial" w:cs="Arial" w:eastAsia="Arial" w:hAnsi="Arial"/>
          <w:color w:val="404040"/>
          <w:sz w:val="20"/>
          <w:szCs w:val="20"/>
        </w:rPr>
        <w:t xml:space="preserve">A star schema with 7 SCD Type 2 dimensions and 2 fact tables, optimized for BI queries. Dimensions track historical changes with valid_from/valid_to date ranges and is_current flags.</w:t>
      </w:r>
    </w:p>
    <w:p>
      <w:pPr>
        <w:spacing w:after="60"/>
      </w:pPr>
    </w:p>
    <w:p>
      <w:pPr>
        <w:pStyle w:val="Heading2"/>
      </w:pPr>
      <w:r>
        <w:t xml:space="preserve">3.4  AWS Glue ETL Orchestration</w:t>
      </w:r>
    </w:p>
    <w:p>
      <w:pPr>
        <w:spacing w:after="120"/>
      </w:pPr>
      <w:r>
        <w:rPr>
          <w:rFonts w:ascii="Arial" w:cs="Arial" w:eastAsia="Arial" w:hAnsi="Arial"/>
          <w:color w:val="404040"/>
          <w:sz w:val="20"/>
          <w:szCs w:val="20"/>
        </w:rPr>
        <w:t xml:space="preserve">Twelve AWS Glue ETL jobs are orchestrated by the warlab-hr-l1-load workflow, scheduled to run daily at 6:00 AM UTC. Each job reads pipe-delimited CSV files from S3, applies type-safety transforms, and loads into Redshift L1 staging tables using the Glue Redshift connector. Jobs run at 10 DPU capacity with a 30-minute timeout, providing full idempotency through TRUNCATE-and-reload logic.</w:t>
      </w:r>
    </w:p>
    <w:p>
      <w:pPr>
        <w:spacing w:after="60"/>
      </w:pPr>
    </w:p>
    <w:p>
      <w:pPr>
        <w:pStyle w:val="Heading2"/>
      </w:pPr>
      <w:r>
        <w:t xml:space="preserve">3.5  Dashboard Delivery</w:t>
      </w:r>
    </w:p>
    <w:p>
      <w:pPr>
        <w:spacing w:after="120"/>
      </w:pPr>
      <w:r>
        <w:rPr>
          <w:rFonts w:ascii="Arial" w:cs="Arial" w:eastAsia="Arial" w:hAnsi="Arial"/>
          <w:color w:val="404040"/>
          <w:sz w:val="20"/>
          <w:szCs w:val="20"/>
        </w:rPr>
        <w:t xml:space="preserve">A single-page HTML dashboard was built with Apache ECharts and deployed to S3/CloudFront. The Lambda extractor function runs five queries against Redshift (KPI Summary, Headcount, Movements, Compensation, Org Health) and writes the results as JSON files to S3. The dashboard fetches these files and renders interactive visualizations including bar charts, donut charts, trend lines, and KPI cards. It auto-refreshes every five minutes and includes a demo-data fallback mode.</w:t>
      </w:r>
    </w:p>
    <w:p>
      <w:r>
        <w:br w:type="page"/>
      </w:r>
    </w:p>
    <w:p>
      <w:pPr>
        <w:pStyle w:val="Heading1"/>
      </w:pPr>
      <w:r>
        <w:t xml:space="preserve">4. Validations and Quality Checks</w:t>
      </w:r>
    </w:p>
    <w:p>
      <w:pPr>
        <w:spacing w:after="120"/>
      </w:pPr>
      <w:r>
        <w:rPr>
          <w:rFonts w:ascii="Arial" w:cs="Arial" w:eastAsia="Arial" w:hAnsi="Arial"/>
          <w:color w:val="404040"/>
          <w:sz w:val="20"/>
          <w:szCs w:val="20"/>
        </w:rPr>
        <w:t xml:space="preserve">Rigorous validation was performed at each stage of the pipeline to ensure data integrity. The following checks were executed:</w:t>
      </w:r>
    </w:p>
    <w:p>
      <w:pPr>
        <w:pStyle w:val="Heading2"/>
      </w:pPr>
      <w:r>
        <w:t xml:space="preserve">4.1  Automated QA Test Suite</w:t>
      </w:r>
    </w:p>
    <w:p>
      <w:pPr>
        <w:spacing w:after="120"/>
      </w:pPr>
      <w:r>
        <w:rPr>
          <w:rFonts w:ascii="Arial" w:cs="Arial" w:eastAsia="Arial" w:hAnsi="Arial"/>
          <w:color w:val="404040"/>
          <w:sz w:val="20"/>
          <w:szCs w:val="20"/>
        </w:rPr>
        <w:t xml:space="preserve">A SQL-based QA suite of 38+ automated tests was run across seven categories, with results stored in a qa_results table:</w:t>
      </w:r>
    </w:p>
    <w:p>
      <w:pPr>
        <w:pStyle w:val="ListParagraph"/>
        <w:numPr>
          <w:ilvl w:val="0"/>
          <w:numId w:val="2"/>
        </w:numPr>
        <w:spacing w:after="60"/>
      </w:pPr>
      <w:r>
        <w:rPr>
          <w:rFonts w:ascii="Arial" w:cs="Arial" w:eastAsia="Arial" w:hAnsi="Arial"/>
          <w:color w:val="404040"/>
          <w:sz w:val="20"/>
          <w:szCs w:val="20"/>
        </w:rPr>
        <w:t xml:space="preserve">L1 Row Count Validation — Confirmed all 12 staging tables were populated after COPY</w:t>
      </w:r>
    </w:p>
    <w:p>
      <w:pPr>
        <w:pStyle w:val="ListParagraph"/>
        <w:numPr>
          <w:ilvl w:val="0"/>
          <w:numId w:val="2"/>
        </w:numPr>
        <w:spacing w:after="60"/>
      </w:pPr>
      <w:r>
        <w:rPr>
          <w:rFonts w:ascii="Arial" w:cs="Arial" w:eastAsia="Arial" w:hAnsi="Arial"/>
          <w:color w:val="404040"/>
          <w:sz w:val="20"/>
          <w:szCs w:val="20"/>
        </w:rPr>
        <w:t xml:space="preserve">L3 Source Table Validation — Verified source transformation layer produced expected row counts</w:t>
      </w:r>
    </w:p>
    <w:p>
      <w:pPr>
        <w:pStyle w:val="ListParagraph"/>
        <w:numPr>
          <w:ilvl w:val="0"/>
          <w:numId w:val="2"/>
        </w:numPr>
        <w:spacing w:after="60"/>
      </w:pPr>
      <w:r>
        <w:rPr>
          <w:rFonts w:ascii="Arial" w:cs="Arial" w:eastAsia="Arial" w:hAnsi="Arial"/>
          <w:color w:val="404040"/>
          <w:sz w:val="20"/>
          <w:szCs w:val="20"/>
        </w:rPr>
        <w:t xml:space="preserve">Dimension Population — Checked all 7 dimension tables had rows with correct SCD2 flags</w:t>
      </w:r>
    </w:p>
    <w:p>
      <w:pPr>
        <w:pStyle w:val="ListParagraph"/>
        <w:numPr>
          <w:ilvl w:val="0"/>
          <w:numId w:val="2"/>
        </w:numPr>
        <w:spacing w:after="60"/>
      </w:pPr>
      <w:r>
        <w:rPr>
          <w:rFonts w:ascii="Arial" w:cs="Arial" w:eastAsia="Arial" w:hAnsi="Arial"/>
          <w:color w:val="404040"/>
          <w:sz w:val="20"/>
          <w:szCs w:val="20"/>
        </w:rPr>
        <w:t xml:space="preserve">Fact Table Population — Verified movement and headcount facts matched expected volumes</w:t>
      </w:r>
    </w:p>
    <w:p>
      <w:pPr>
        <w:pStyle w:val="ListParagraph"/>
        <w:numPr>
          <w:ilvl w:val="0"/>
          <w:numId w:val="2"/>
        </w:numPr>
        <w:spacing w:after="60"/>
      </w:pPr>
      <w:r>
        <w:rPr>
          <w:rFonts w:ascii="Arial" w:cs="Arial" w:eastAsia="Arial" w:hAnsi="Arial"/>
          <w:color w:val="404040"/>
          <w:sz w:val="20"/>
          <w:szCs w:val="20"/>
        </w:rPr>
        <w:t xml:space="preserve">NULL Key Validation — Ensured critical columns (employee_id, effective_date) had no NULLs</w:t>
      </w:r>
    </w:p>
    <w:p>
      <w:pPr>
        <w:pStyle w:val="ListParagraph"/>
        <w:numPr>
          <w:ilvl w:val="0"/>
          <w:numId w:val="2"/>
        </w:numPr>
        <w:spacing w:after="60"/>
      </w:pPr>
      <w:r>
        <w:rPr>
          <w:rFonts w:ascii="Arial" w:cs="Arial" w:eastAsia="Arial" w:hAnsi="Arial"/>
          <w:color w:val="404040"/>
          <w:sz w:val="20"/>
          <w:szCs w:val="20"/>
        </w:rPr>
        <w:t xml:space="preserve">Referential Integrity — Confirmed fact table foreign keys resolve to valid dimension records</w:t>
      </w:r>
    </w:p>
    <w:p>
      <w:pPr>
        <w:pStyle w:val="ListParagraph"/>
        <w:numPr>
          <w:ilvl w:val="0"/>
          <w:numId w:val="2"/>
        </w:numPr>
        <w:spacing w:after="60"/>
      </w:pPr>
      <w:r>
        <w:rPr>
          <w:rFonts w:ascii="Arial" w:cs="Arial" w:eastAsia="Arial" w:hAnsi="Arial"/>
          <w:color w:val="404040"/>
          <w:sz w:val="20"/>
          <w:szCs w:val="20"/>
        </w:rPr>
        <w:t xml:space="preserve">SCD2 Logic — Validated is_current flags, valid_from/valid_to date ranges, and no overlapping periods</w:t>
      </w:r>
    </w:p>
    <w:p>
      <w:pPr>
        <w:spacing w:after="60"/>
      </w:pPr>
    </w:p>
    <w:p>
      <w:pPr>
        <w:pStyle w:val="Heading2"/>
      </w:pPr>
      <w:r>
        <w:t xml:space="preserve">4.2  Manual Data Validation</w:t>
      </w:r>
    </w:p>
    <w:p>
      <w:pPr>
        <w:spacing w:after="120"/>
      </w:pPr>
      <w:r>
        <w:rPr>
          <w:rFonts w:ascii="Arial" w:cs="Arial" w:eastAsia="Arial" w:hAnsi="Arial"/>
          <w:color w:val="404040"/>
          <w:sz w:val="20"/>
          <w:szCs w:val="20"/>
        </w:rPr>
        <w:t xml:space="preserve">Beyond the automated suite, manual validation compared Redshift aggregates against the source CSV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08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CSV Source</w:t>
            </w:r>
          </w:p>
        </w:tc>
        <w:tc>
          <w:tcPr>
            <w:tcW w:type="dxa" w:w="208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Redshift</w:t>
            </w:r>
          </w:p>
        </w:tc>
        <w:tc>
          <w:tcPr>
            <w:tcW w:type="dxa" w:w="208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Active Headcount</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402</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429</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PASS*</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Total Movements</w:t>
            </w:r>
          </w:p>
        </w:tc>
        <w:tc>
          <w:tcPr>
            <w:tcW w:type="dxa" w:w="20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w:t>
            </w:r>
          </w:p>
        </w:tc>
        <w:tc>
          <w:tcPr>
            <w:tcW w:type="dxa" w:w="20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2,751</w:t>
            </w:r>
          </w:p>
        </w:tc>
        <w:tc>
          <w:tcPr>
            <w:tcW w:type="dxa" w:w="20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PASS</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Average Base Pay</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$175,741</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$175,344</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PASS</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Dimension: Worker Job</w:t>
            </w:r>
          </w:p>
        </w:tc>
        <w:tc>
          <w:tcPr>
            <w:tcW w:type="dxa" w:w="20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w:t>
            </w:r>
          </w:p>
        </w:tc>
        <w:tc>
          <w:tcPr>
            <w:tcW w:type="dxa" w:w="20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2,751 (0 dupes)</w:t>
            </w:r>
          </w:p>
        </w:tc>
        <w:tc>
          <w:tcPr>
            <w:tcW w:type="dxa" w:w="20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PASS</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Dimension: Worker Status</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2,011 (0 dupes)</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PASS</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Fact: Movement</w:t>
            </w:r>
          </w:p>
        </w:tc>
        <w:tc>
          <w:tcPr>
            <w:tcW w:type="dxa" w:w="20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w:t>
            </w:r>
          </w:p>
        </w:tc>
        <w:tc>
          <w:tcPr>
            <w:tcW w:type="dxa" w:w="20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2,751 (0 dupes)</w:t>
            </w:r>
          </w:p>
        </w:tc>
        <w:tc>
          <w:tcPr>
            <w:tcW w:type="dxa" w:w="20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PASS</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Fact: Headcount</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9,084 (24 months)</w:t>
            </w:r>
          </w:p>
        </w:tc>
        <w:tc>
          <w:tcPr>
            <w:tcW w:type="dxa" w:w="20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PASS</w:t>
            </w:r>
          </w:p>
        </w:tc>
      </w:tr>
    </w:tbl>
    <w:p>
      <w:pPr>
        <w:spacing w:after="120"/>
      </w:pPr>
      <w:r>
        <w:rPr>
          <w:rFonts w:ascii="Arial" w:cs="Arial" w:eastAsia="Arial" w:hAnsi="Arial"/>
          <w:i/>
          <w:iCs/>
          <w:color w:val="666666"/>
          <w:sz w:val="18"/>
          <w:szCs w:val="18"/>
        </w:rPr>
        <w:t xml:space="preserve">* Headcount difference (402 vs 429) is expected: CSV counts strictly active employees while Redshift includes employees on leave.</w:t>
      </w:r>
    </w:p>
    <w:p>
      <w:pPr>
        <w:spacing w:after="60"/>
      </w:pPr>
    </w:p>
    <w:p>
      <w:pPr>
        <w:pStyle w:val="Heading2"/>
      </w:pPr>
      <w:r>
        <w:t xml:space="preserve">4.3  Dashboard Validation</w:t>
      </w:r>
    </w:p>
    <w:p>
      <w:pPr>
        <w:spacing w:after="120"/>
      </w:pPr>
      <w:r>
        <w:rPr>
          <w:rFonts w:ascii="Arial" w:cs="Arial" w:eastAsia="Arial" w:hAnsi="Arial"/>
          <w:color w:val="404040"/>
          <w:sz w:val="20"/>
          <w:szCs w:val="20"/>
        </w:rPr>
        <w:t xml:space="preserve">After each Lambda extraction, the JSON output files were downloaded from S3 and inspected to confirm non-empty data arrays:</w:t>
      </w:r>
    </w:p>
    <w:p>
      <w:pPr>
        <w:pStyle w:val="ListParagraph"/>
        <w:numPr>
          <w:ilvl w:val="0"/>
          <w:numId w:val="2"/>
        </w:numPr>
        <w:spacing w:after="60"/>
      </w:pPr>
      <w:r>
        <w:rPr>
          <w:rFonts w:ascii="Arial" w:cs="Arial" w:eastAsia="Arial" w:hAnsi="Arial"/>
          <w:color w:val="404040"/>
          <w:sz w:val="20"/>
          <w:szCs w:val="20"/>
        </w:rPr>
        <w:t xml:space="preserve">KPI Summary — Headcount 429, movements 2,751, avg base pay $175,344, 20 companies, 178 departments</w:t>
      </w:r>
    </w:p>
    <w:p>
      <w:pPr>
        <w:pStyle w:val="ListParagraph"/>
        <w:numPr>
          <w:ilvl w:val="0"/>
          <w:numId w:val="2"/>
        </w:numPr>
        <w:spacing w:after="60"/>
      </w:pPr>
      <w:r>
        <w:rPr>
          <w:rFonts w:ascii="Arial" w:cs="Arial" w:eastAsia="Arial" w:hAnsi="Arial"/>
          <w:color w:val="404040"/>
          <w:sz w:val="20"/>
          <w:szCs w:val="20"/>
        </w:rPr>
        <w:t xml:space="preserve">Headcount — 20 company breakdowns, 98 department breakdowns, 97 location breakdowns, 23-month trend</w:t>
      </w:r>
    </w:p>
    <w:p>
      <w:pPr>
        <w:pStyle w:val="ListParagraph"/>
        <w:numPr>
          <w:ilvl w:val="0"/>
          <w:numId w:val="2"/>
        </w:numPr>
        <w:spacing w:after="60"/>
      </w:pPr>
      <w:r>
        <w:rPr>
          <w:rFonts w:ascii="Arial" w:cs="Arial" w:eastAsia="Arial" w:hAnsi="Arial"/>
          <w:color w:val="404040"/>
          <w:sz w:val="20"/>
          <w:szCs w:val="20"/>
        </w:rPr>
        <w:t xml:space="preserve">Movements — Change type breakdowns (1,285 job changes, 1,280 location changes, etc.)</w:t>
      </w:r>
    </w:p>
    <w:p>
      <w:pPr>
        <w:pStyle w:val="ListParagraph"/>
        <w:numPr>
          <w:ilvl w:val="0"/>
          <w:numId w:val="2"/>
        </w:numPr>
        <w:spacing w:after="60"/>
      </w:pPr>
      <w:r>
        <w:rPr>
          <w:rFonts w:ascii="Arial" w:cs="Arial" w:eastAsia="Arial" w:hAnsi="Arial"/>
          <w:color w:val="404040"/>
          <w:sz w:val="20"/>
          <w:szCs w:val="20"/>
        </w:rPr>
        <w:t xml:space="preserve">Compensation — Grade distributions, job family averages</w:t>
      </w:r>
    </w:p>
    <w:p>
      <w:pPr>
        <w:pStyle w:val="ListParagraph"/>
        <w:numPr>
          <w:ilvl w:val="0"/>
          <w:numId w:val="2"/>
        </w:numPr>
        <w:spacing w:after="60"/>
      </w:pPr>
      <w:r>
        <w:rPr>
          <w:rFonts w:ascii="Arial" w:cs="Arial" w:eastAsia="Arial" w:hAnsi="Arial"/>
          <w:color w:val="404040"/>
          <w:sz w:val="20"/>
          <w:szCs w:val="20"/>
        </w:rPr>
        <w:t xml:space="preserve">Org Health — 98 departments with headcounts, 100 manager span-of-control entries, 100 locations</w:t>
      </w:r>
    </w:p>
    <w:p>
      <w:pPr>
        <w:spacing w:after="60"/>
      </w:pPr>
    </w:p>
    <w:p>
      <w:pPr>
        <w:pStyle w:val="Heading1"/>
      </w:pPr>
      <w:r>
        <w:t xml:space="preserve">5. Issues Discovered and Resolved</w:t>
      </w:r>
    </w:p>
    <w:p>
      <w:pPr>
        <w:spacing w:after="120"/>
      </w:pPr>
      <w:r>
        <w:rPr>
          <w:rFonts w:ascii="Arial" w:cs="Arial" w:eastAsia="Arial" w:hAnsi="Arial"/>
          <w:color w:val="404040"/>
          <w:sz w:val="20"/>
          <w:szCs w:val="20"/>
        </w:rPr>
        <w:t xml:space="preserve">During deployment, 15 issues were identified, diagnosed, and resolved. These fell into four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0"/>
        <w:gridCol w:w="1400"/>
        <w:gridCol w:w="4220"/>
      </w:tblGrid>
      <w:tr>
        <w:tc>
          <w:tcPr>
            <w:tcW w:type="dxa" w:w="374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14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w:t>
            </w:r>
          </w:p>
        </w:tc>
        <w:tc>
          <w:tcPr>
            <w:tcW w:type="dxa" w:w="422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Examples</w:t>
            </w:r>
          </w:p>
        </w:tc>
      </w:tr>
      <w:tr>
        <w:tc>
          <w:tcPr>
            <w:tcW w:type="dxa" w:w="374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Redshift SQL Compatibility</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6</w:t>
            </w:r>
          </w:p>
        </w:tc>
        <w:tc>
          <w:tcPr>
            <w:tcW w:type="dxa" w:w="42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CONCAT() 2-arg limit, BOOLEAN casting, CTE placement</w:t>
            </w:r>
          </w:p>
        </w:tc>
      </w:tr>
      <w:tr>
        <w:tc>
          <w:tcPr>
            <w:tcW w:type="dxa" w:w="37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Schema/Column Mismatches</w:t>
            </w:r>
          </w:p>
        </w:tc>
        <w:tc>
          <w:tcPr>
            <w:tcW w:type="dxa" w:w="14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w:t>
            </w:r>
          </w:p>
        </w:tc>
        <w:tc>
          <w:tcPr>
            <w:tcW w:type="dxa" w:w="42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Table name differences, missing columns, schema references</w:t>
            </w:r>
          </w:p>
        </w:tc>
      </w:tr>
      <w:tr>
        <w:tc>
          <w:tcPr>
            <w:tcW w:type="dxa" w:w="374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Data Quality</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w:t>
            </w:r>
          </w:p>
        </w:tc>
        <w:tc>
          <w:tcPr>
            <w:tcW w:type="dxa" w:w="42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Cartesian products in JOINs, dimension duplicates, valid_from dates</w:t>
            </w:r>
          </w:p>
        </w:tc>
      </w:tr>
      <w:tr>
        <w:tc>
          <w:tcPr>
            <w:tcW w:type="dxa" w:w="37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Lambda/Dashboard</w:t>
            </w:r>
          </w:p>
        </w:tc>
        <w:tc>
          <w:tcPr>
            <w:tcW w:type="dxa" w:w="14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w:t>
            </w:r>
          </w:p>
        </w:tc>
        <w:tc>
          <w:tcPr>
            <w:tcW w:type="dxa" w:w="42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Event key naming, surrogate key NULLs, ID format mismatches</w:t>
            </w:r>
          </w:p>
        </w:tc>
      </w:tr>
    </w:tbl>
    <w:p>
      <w:pPr>
        <w:spacing w:after="120"/>
      </w:pPr>
      <w:r>
        <w:rPr>
          <w:rFonts w:ascii="Arial" w:cs="Arial" w:eastAsia="Arial" w:hAnsi="Arial"/>
          <w:color w:val="404040"/>
          <w:sz w:val="20"/>
          <w:szCs w:val="20"/>
        </w:rPr>
        <w:t xml:space="preserve">All 15 issues are fully documented with root cause, fix, and lessons learned in the project repository (LESSONS_LEARNED.md).</w:t>
      </w:r>
    </w:p>
    <w:p>
      <w:pPr>
        <w:spacing w:after="60"/>
      </w:pPr>
    </w:p>
    <w:p>
      <w:pPr>
        <w:pStyle w:val="Heading1"/>
      </w:pPr>
      <w:r>
        <w:t xml:space="preserve">6. Conclusion</w:t>
      </w:r>
    </w:p>
    <w:p>
      <w:pPr>
        <w:spacing w:after="120"/>
      </w:pPr>
      <w:r>
        <w:rPr>
          <w:rFonts w:ascii="Arial" w:cs="Arial" w:eastAsia="Arial" w:hAnsi="Arial"/>
          <w:color w:val="404040"/>
          <w:sz w:val="20"/>
          <w:szCs w:val="20"/>
        </w:rPr>
        <w:t xml:space="preserve">The WAR Lab Simulated HR Data Migration project successfully demonstrates a complete, production-grade data pipeline on AWS. From synthetic data generation through a live, auto-refreshing executive dashboard, every component was built, deployed, validated, and documented. The project is fully version-controlled in GitHub and can be redeployed from the repository at any time.</w:t>
      </w:r>
    </w:p>
    <w:p>
      <w:pPr>
        <w:spacing w:after="120"/>
      </w:pPr>
      <w:r>
        <w:rPr>
          <w:rFonts w:ascii="Arial" w:cs="Arial" w:eastAsia="Arial" w:hAnsi="Arial"/>
          <w:color w:val="404040"/>
          <w:sz w:val="20"/>
          <w:szCs w:val="20"/>
        </w:rPr>
        <w:t xml:space="preserve">The 15 issues encountered during deployment have been resolved and documented as institutional knowledge, making the pipeline more robust for future iterations and serving as a reference for similar data warehouse implementations.</w:t>
      </w:r>
    </w:p>
    <w:p>
      <w:r>
        <w:br w:type="page"/>
      </w:r>
    </w:p>
    <w:p>
      <w:pPr>
        <w:pStyle w:val="Heading1"/>
      </w:pPr>
      <w:r>
        <w:t xml:space="preserve">Appendix A: Technical Configuration</w:t>
      </w:r>
    </w:p>
    <w:p>
      <w:pPr>
        <w:pStyle w:val="Heading2"/>
      </w:pPr>
      <w:r>
        <w:t xml:space="preserve">A.1  AWS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624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Redshift Cluster</w:t>
            </w:r>
          </w:p>
        </w:tc>
        <w:tc>
          <w:tcPr>
            <w:tcW w:type="dxa" w:w="624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warlab-hr-datamart (single-node, dc2.large)</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Redshift Database</w:t>
            </w:r>
          </w:p>
        </w:tc>
        <w:tc>
          <w:tcPr>
            <w:tcW w:type="dxa" w:w="62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dev</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Redshift Schemas</w:t>
            </w:r>
          </w:p>
        </w:tc>
        <w:tc>
          <w:tcPr>
            <w:tcW w:type="dxa" w:w="624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l1_workday, l3_workday</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S3 Data Bucket</w:t>
            </w:r>
          </w:p>
        </w:tc>
        <w:tc>
          <w:tcPr>
            <w:tcW w:type="dxa" w:w="62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warlab-hr-datamart-dev</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S3 Dashboard Bucket</w:t>
            </w:r>
          </w:p>
        </w:tc>
        <w:tc>
          <w:tcPr>
            <w:tcW w:type="dxa" w:w="624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warlab-hr-dashboard</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CloudFront Distribution</w:t>
            </w:r>
          </w:p>
        </w:tc>
        <w:tc>
          <w:tcPr>
            <w:tcW w:type="dxa" w:w="62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E3RGFB9ROIS4KH</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CloudFront Domain</w:t>
            </w:r>
          </w:p>
        </w:tc>
        <w:tc>
          <w:tcPr>
            <w:tcW w:type="dxa" w:w="624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d142tokwl5q6ig.cloudfront.net</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Lambda Extractor</w:t>
            </w:r>
          </w:p>
        </w:tc>
        <w:tc>
          <w:tcPr>
            <w:tcW w:type="dxa" w:w="62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warlab-dashboard-extractor (Python 3.11, 1024 MB, 300s timeout)</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Lambda CW Publisher</w:t>
            </w:r>
          </w:p>
        </w:tc>
        <w:tc>
          <w:tcPr>
            <w:tcW w:type="dxa" w:w="624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warlab-cloudwatch-publisher (Python 3.11, 512 MB)</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Glue Workflow</w:t>
            </w:r>
          </w:p>
        </w:tc>
        <w:tc>
          <w:tcPr>
            <w:tcW w:type="dxa" w:w="624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warlab-hr-l1-load (12 jobs, 10 DPU each, daily 6AM UTC)</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Region</w:t>
            </w:r>
          </w:p>
        </w:tc>
        <w:tc>
          <w:tcPr>
            <w:tcW w:type="dxa" w:w="624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us-east-1</w:t>
            </w:r>
          </w:p>
        </w:tc>
      </w:tr>
    </w:tbl>
    <w:p>
      <w:pPr>
        <w:spacing w:after="60"/>
      </w:pPr>
    </w:p>
    <w:p>
      <w:pPr>
        <w:pStyle w:val="Heading2"/>
      </w:pPr>
      <w:r>
        <w:t xml:space="preserve">A.2  Data Architecture</w:t>
      </w:r>
    </w:p>
    <w:p>
      <w:pPr>
        <w:spacing w:after="120"/>
      </w:pPr>
      <w:r>
        <w:rPr>
          <w:rFonts w:ascii="Arial" w:cs="Arial" w:eastAsia="Arial" w:hAnsi="Arial"/>
          <w:color w:val="404040"/>
          <w:sz w:val="20"/>
          <w:szCs w:val="20"/>
        </w:rPr>
        <w:t xml:space="preserve">The star schema in the l3_workday analytics layer consists of:</w:t>
      </w:r>
    </w:p>
    <w:p>
      <w:pPr>
        <w:pStyle w:val="Heading3"/>
      </w:pPr>
      <w:r>
        <w:t xml:space="preserve">Dimension Tables (SCD Type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Table</w:t>
            </w:r>
          </w:p>
        </w:tc>
        <w:tc>
          <w:tcPr>
            <w:tcW w:type="dxa" w:w="156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Rows</w:t>
            </w:r>
          </w:p>
        </w:tc>
        <w:tc>
          <w:tcPr>
            <w:tcW w:type="dxa" w:w="468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dim_worker_job_d</w:t>
            </w:r>
          </w:p>
        </w:tc>
        <w:tc>
          <w:tcPr>
            <w:tcW w:type="dxa" w:w="15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2,751</w:t>
            </w:r>
          </w:p>
        </w:tc>
        <w:tc>
          <w:tcPr>
            <w:tcW w:type="dxa" w:w="46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Employee job history (title, grade, location, manager)</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dim_worker_status_d</w:t>
            </w:r>
          </w:p>
        </w:tc>
        <w:tc>
          <w:tcPr>
            <w:tcW w:type="dxa" w:w="1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2,011</w:t>
            </w:r>
          </w:p>
        </w:tc>
        <w:tc>
          <w:tcPr>
            <w:tcW w:type="dxa" w:w="46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Employee status history (active, leave, terminated)</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dim_company_d</w:t>
            </w:r>
          </w:p>
        </w:tc>
        <w:tc>
          <w:tcPr>
            <w:tcW w:type="dxa" w:w="15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20</w:t>
            </w:r>
          </w:p>
        </w:tc>
        <w:tc>
          <w:tcPr>
            <w:tcW w:type="dxa" w:w="46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Company reference data</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dim_department_d</w:t>
            </w:r>
          </w:p>
        </w:tc>
        <w:tc>
          <w:tcPr>
            <w:tcW w:type="dxa" w:w="1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178</w:t>
            </w:r>
          </w:p>
        </w:tc>
        <w:tc>
          <w:tcPr>
            <w:tcW w:type="dxa" w:w="46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Department/org reference data</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dim_location_d</w:t>
            </w:r>
          </w:p>
        </w:tc>
        <w:tc>
          <w:tcPr>
            <w:tcW w:type="dxa" w:w="15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100</w:t>
            </w:r>
          </w:p>
        </w:tc>
        <w:tc>
          <w:tcPr>
            <w:tcW w:type="dxa" w:w="46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Work location reference data</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dim_cost_center_d</w:t>
            </w:r>
          </w:p>
        </w:tc>
        <w:tc>
          <w:tcPr>
            <w:tcW w:type="dxa" w:w="1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100</w:t>
            </w:r>
          </w:p>
        </w:tc>
        <w:tc>
          <w:tcPr>
            <w:tcW w:type="dxa" w:w="46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Cost center reference data</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dim_grade_profile_d</w:t>
            </w:r>
          </w:p>
        </w:tc>
        <w:tc>
          <w:tcPr>
            <w:tcW w:type="dxa" w:w="15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10</w:t>
            </w:r>
          </w:p>
        </w:tc>
        <w:tc>
          <w:tcPr>
            <w:tcW w:type="dxa" w:w="46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Compensation grade profiles</w:t>
            </w:r>
          </w:p>
        </w:tc>
      </w:tr>
      <w:tr>
        <w:tc>
          <w:tcPr>
            <w:tcW w:type="dxa" w:w="312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dim_job_profile_d</w:t>
            </w:r>
          </w:p>
        </w:tc>
        <w:tc>
          <w:tcPr>
            <w:tcW w:type="dxa" w:w="1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200</w:t>
            </w:r>
          </w:p>
        </w:tc>
        <w:tc>
          <w:tcPr>
            <w:tcW w:type="dxa" w:w="46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Job profile reference data</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dim_position_d</w:t>
            </w:r>
          </w:p>
        </w:tc>
        <w:tc>
          <w:tcPr>
            <w:tcW w:type="dxa" w:w="15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600</w:t>
            </w:r>
          </w:p>
        </w:tc>
        <w:tc>
          <w:tcPr>
            <w:tcW w:type="dxa" w:w="46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Position reference data</w:t>
            </w:r>
          </w:p>
        </w:tc>
      </w:tr>
    </w:tbl>
    <w:p>
      <w:pPr>
        <w:spacing w:after="60"/>
      </w:pPr>
    </w:p>
    <w:p>
      <w:pPr>
        <w:pStyle w:val="Heading3"/>
      </w:pPr>
      <w:r>
        <w:t xml:space="preserve">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60"/>
        <w:gridCol w:w="3800"/>
      </w:tblGrid>
      <w:tr>
        <w:tc>
          <w:tcPr>
            <w:tcW w:type="dxa" w:w="40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Table</w:t>
            </w:r>
          </w:p>
        </w:tc>
        <w:tc>
          <w:tcPr>
            <w:tcW w:type="dxa" w:w="156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Rows</w:t>
            </w:r>
          </w:p>
        </w:tc>
        <w:tc>
          <w:tcPr>
            <w:tcW w:type="dxa" w:w="38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40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fct_worker_movement_f</w:t>
            </w:r>
          </w:p>
        </w:tc>
        <w:tc>
          <w:tcPr>
            <w:tcW w:type="dxa" w:w="156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2,751</w:t>
            </w:r>
          </w:p>
        </w:tc>
        <w:tc>
          <w:tcPr>
            <w:tcW w:type="dxa" w:w="38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One row per employee effective-date event; tracks 12 change metrics</w:t>
            </w:r>
          </w:p>
        </w:tc>
      </w:tr>
      <w:tr>
        <w:tc>
          <w:tcPr>
            <w:tcW w:type="dxa" w:w="4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bCs/>
                <w:color w:val="404040"/>
                <w:sz w:val="18"/>
                <w:szCs w:val="18"/>
              </w:rPr>
              <w:t xml:space="preserve">fct_worker_headcount_restat_f</w:t>
            </w:r>
          </w:p>
        </w:tc>
        <w:tc>
          <w:tcPr>
            <w:tcW w:type="dxa" w:w="1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color w:val="404040"/>
                <w:sz w:val="18"/>
                <w:szCs w:val="18"/>
              </w:rPr>
              <w:t xml:space="preserve">9,084</w:t>
            </w:r>
          </w:p>
        </w:tc>
        <w:tc>
          <w:tcPr>
            <w:tcW w:type="dxa" w:w="3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Monthly headcount snapshots (24-month restatement window)</w:t>
            </w:r>
          </w:p>
        </w:tc>
      </w:tr>
    </w:tbl>
    <w:p>
      <w:pPr>
        <w:spacing w:after="60"/>
      </w:pPr>
    </w:p>
    <w:p>
      <w:pPr>
        <w:pStyle w:val="Heading2"/>
      </w:pPr>
      <w:r>
        <w:t xml:space="preserve">A.3  Data Flow Diagram</w:t>
      </w:r>
    </w:p>
    <w:p>
      <w:pPr>
        <w:spacing w:after="120"/>
      </w:pPr>
      <w:r>
        <w:rPr>
          <w:rFonts w:ascii="Arial" w:cs="Arial" w:eastAsia="Arial" w:hAnsi="Arial"/>
          <w:color w:val="404040"/>
          <w:sz w:val="20"/>
          <w:szCs w:val="20"/>
        </w:rPr>
        <w:t xml:space="preserve">The complete data flow from source to dashboard: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E7" w:sz="1"/>
              <w:left w:val="single" w:color="B4C6E7" w:sz="1"/>
              <w:bottom w:val="single" w:color="B4C6E7" w:sz="1"/>
              <w:right w:val="single" w:color="B4C6E7" w:sz="1"/>
            </w:tcBorders>
            <w:shd w:fill="F8F9FA" w:val="clear"/>
            <w:tcMar>
              <w:top w:type="dxa" w:w="200"/>
              <w:left w:type="dxa" w:w="300"/>
              <w:bottom w:type="dxa" w:w="200"/>
              <w:right w:type="dxa" w:w="300"/>
            </w:tcMar>
          </w:tcPr>
          <w:p>
            <w:pPr>
              <w:spacing w:after="60"/>
            </w:pPr>
            <w:r>
              <w:rPr>
                <w:rFonts w:ascii="Consolas" w:cs="Consolas" w:eastAsia="Consolas" w:hAnsi="Consolas"/>
                <w:color w:val="404040"/>
                <w:sz w:val="18"/>
                <w:szCs w:val="18"/>
              </w:rPr>
              <w:t xml:space="preserve">Python Generator  →  12 CSV Files (pipe-delimited, 6,356 rows)</w:t>
            </w:r>
          </w:p>
          <w:p>
            <w:pPr>
              <w:spacing w:after="60"/>
            </w:pPr>
            <w:r>
              <w:rPr>
                <w:rFonts w:ascii="Consolas" w:cs="Consolas" w:eastAsia="Consolas" w:hAnsi="Consolas"/>
                <w:color w:val="404040"/>
                <w:sz w:val="18"/>
                <w:szCs w:val="18"/>
              </w:rPr>
              <w:t xml:space="preserve">    ↓</w:t>
            </w:r>
          </w:p>
          <w:p>
            <w:pPr>
              <w:spacing w:after="60"/>
            </w:pPr>
            <w:r>
              <w:rPr>
                <w:rFonts w:ascii="Consolas" w:cs="Consolas" w:eastAsia="Consolas" w:hAnsi="Consolas"/>
                <w:color w:val="404040"/>
                <w:sz w:val="18"/>
                <w:szCs w:val="18"/>
              </w:rPr>
              <w:t xml:space="preserve">Amazon S3  (warlab-hr-datamart-dev/workday/hrdp/{feed}/dt={date}/)</w:t>
            </w:r>
          </w:p>
          <w:p>
            <w:pPr>
              <w:spacing w:after="60"/>
            </w:pPr>
            <w:r>
              <w:rPr>
                <w:rFonts w:ascii="Consolas" w:cs="Consolas" w:eastAsia="Consolas" w:hAnsi="Consolas"/>
                <w:color w:val="404040"/>
                <w:sz w:val="18"/>
                <w:szCs w:val="18"/>
              </w:rPr>
              <w:t xml:space="preserve">    ↓  [AWS Glue: 12 ETL jobs, daily 6AM UTC]</w:t>
            </w:r>
          </w:p>
          <w:p>
            <w:pPr>
              <w:spacing w:after="60"/>
            </w:pPr>
            <w:r>
              <w:rPr>
                <w:rFonts w:ascii="Consolas" w:cs="Consolas" w:eastAsia="Consolas" w:hAnsi="Consolas"/>
                <w:color w:val="404040"/>
                <w:sz w:val="18"/>
                <w:szCs w:val="18"/>
              </w:rPr>
              <w:t xml:space="preserve">Redshift L1 Staging  (l1_workday — 12 tables, raw data)</w:t>
            </w:r>
          </w:p>
          <w:p>
            <w:pPr>
              <w:spacing w:after="60"/>
            </w:pPr>
            <w:r>
              <w:rPr>
                <w:rFonts w:ascii="Consolas" w:cs="Consolas" w:eastAsia="Consolas" w:hAnsi="Consolas"/>
                <w:color w:val="404040"/>
                <w:sz w:val="18"/>
                <w:szCs w:val="18"/>
              </w:rPr>
              <w:t xml:space="preserve">    ↓  [SQL transforms]</w:t>
            </w:r>
          </w:p>
          <w:p>
            <w:pPr>
              <w:spacing w:after="60"/>
            </w:pPr>
            <w:r>
              <w:rPr>
                <w:rFonts w:ascii="Consolas" w:cs="Consolas" w:eastAsia="Consolas" w:hAnsi="Consolas"/>
                <w:color w:val="404040"/>
                <w:sz w:val="18"/>
                <w:szCs w:val="18"/>
              </w:rPr>
              <w:t xml:space="preserve">Redshift L3 Source  (l3_workday — mapping/cleansing layer)</w:t>
            </w:r>
          </w:p>
          <w:p>
            <w:pPr>
              <w:spacing w:after="60"/>
            </w:pPr>
            <w:r>
              <w:rPr>
                <w:rFonts w:ascii="Consolas" w:cs="Consolas" w:eastAsia="Consolas" w:hAnsi="Consolas"/>
                <w:color w:val="404040"/>
                <w:sz w:val="18"/>
                <w:szCs w:val="18"/>
              </w:rPr>
              <w:t xml:space="preserve">    ↓  [SCD2 dimension loads + fact loads]</w:t>
            </w:r>
          </w:p>
          <w:p>
            <w:pPr>
              <w:spacing w:after="60"/>
            </w:pPr>
            <w:r>
              <w:rPr>
                <w:rFonts w:ascii="Consolas" w:cs="Consolas" w:eastAsia="Consolas" w:hAnsi="Consolas"/>
                <w:color w:val="404040"/>
                <w:sz w:val="18"/>
                <w:szCs w:val="18"/>
              </w:rPr>
              <w:t xml:space="preserve">Redshift L3 Analytics  (9 dimensions + 2 fact tables)</w:t>
            </w:r>
          </w:p>
          <w:p>
            <w:pPr>
              <w:spacing w:after="60"/>
            </w:pPr>
            <w:r>
              <w:rPr>
                <w:rFonts w:ascii="Consolas" w:cs="Consolas" w:eastAsia="Consolas" w:hAnsi="Consolas"/>
                <w:color w:val="404040"/>
                <w:sz w:val="18"/>
                <w:szCs w:val="18"/>
              </w:rPr>
              <w:t xml:space="preserve">    ↓  [Lambda: 5 extractions]</w:t>
            </w:r>
          </w:p>
          <w:p>
            <w:pPr>
              <w:spacing w:after="60"/>
            </w:pPr>
            <w:r>
              <w:rPr>
                <w:rFonts w:ascii="Consolas" w:cs="Consolas" w:eastAsia="Consolas" w:hAnsi="Consolas"/>
                <w:color w:val="404040"/>
                <w:sz w:val="18"/>
                <w:szCs w:val="18"/>
              </w:rPr>
              <w:t xml:space="preserve">S3 JSON  (warlab-hr-dashboard/data/*.json)</w:t>
            </w:r>
          </w:p>
          <w:p>
            <w:pPr>
              <w:spacing w:after="0"/>
            </w:pPr>
            <w:r>
              <w:rPr>
                <w:rFonts w:ascii="Consolas" w:cs="Consolas" w:eastAsia="Consolas" w:hAnsi="Consolas"/>
                <w:color w:val="404040"/>
                <w:sz w:val="18"/>
                <w:szCs w:val="18"/>
              </w:rPr>
              <w:t xml:space="preserve">    ↓  [CloudFront CDN]</w:t>
            </w:r>
          </w:p>
          <w:p>
            <w:pPr>
              <w:spacing w:after="0"/>
            </w:pPr>
            <w:r>
              <w:rPr>
                <w:rFonts w:ascii="Consolas" w:cs="Consolas" w:eastAsia="Consolas" w:hAnsi="Consolas"/>
                <w:b/>
                <w:bCs/>
                <w:color w:val="1B2A4A"/>
                <w:sz w:val="18"/>
                <w:szCs w:val="18"/>
              </w:rPr>
              <w:t xml:space="preserve">People Analytics Dashboard  (d142tokwl5q6ig.cloudfront.net)</w:t>
            </w:r>
          </w:p>
        </w:tc>
      </w:tr>
    </w:tbl>
    <w:p>
      <w:pPr>
        <w:spacing w:after="60"/>
      </w:pPr>
    </w:p>
    <w:p>
      <w:pPr>
        <w:pStyle w:val="Heading2"/>
      </w:pPr>
      <w:r>
        <w:t xml:space="preserve">A.4  GitHub Repository</w:t>
      </w:r>
    </w:p>
    <w:p>
      <w:pPr>
        <w:spacing w:after="120"/>
      </w:pPr>
      <w:r>
        <w:rPr>
          <w:rFonts w:ascii="Arial" w:cs="Arial" w:eastAsia="Arial" w:hAnsi="Arial"/>
          <w:color w:val="404040"/>
          <w:sz w:val="20"/>
          <w:szCs w:val="20"/>
        </w:rPr>
        <w:t xml:space="preserve">All source code, SQL scripts, documentation, and deployment artifacts are version-controlled at:</w:t>
      </w:r>
    </w:p>
    <w:p>
      <w:pPr>
        <w:spacing w:after="120"/>
      </w:pPr>
      <w:r>
        <w:rPr>
          <w:rFonts w:ascii="Consolas" w:cs="Consolas" w:eastAsia="Consolas" w:hAnsi="Consolas"/>
          <w:color w:val="2E75B6"/>
          <w:sz w:val="20"/>
          <w:szCs w:val="20"/>
        </w:rPr>
        <w:t xml:space="preserve">https://github.com/WARLAB01/warlab-projects</w:t>
      </w:r>
    </w:p>
    <w:p>
      <w:pPr>
        <w:spacing w:after="120"/>
      </w:pPr>
      <w:r>
        <w:rPr>
          <w:rFonts w:ascii="Arial" w:cs="Arial" w:eastAsia="Arial" w:hAnsi="Arial"/>
          <w:color w:val="404040"/>
          <w:sz w:val="20"/>
          <w:szCs w:val="20"/>
        </w:rPr>
        <w:t xml:space="preserve">The repository contains the complete pipeline: data generator, DDL/DML scripts, Glue ETL jobs, Lambda functions, dashboard HTML, QA tests, deployment scripts, and full documentation including LESSONS_LEARNED.md with all 15 resolved issues.</w:t>
      </w:r>
    </w:p>
    <w:p>
      <w:r>
        <w:br w:type="page"/>
      </w:r>
    </w:p>
    <w:p>
      <w:pPr>
        <w:pStyle w:val="Heading1"/>
      </w:pPr>
      <w:r>
        <w:t xml:space="preserve">Appendix B: Issue Log Summary</w:t>
      </w:r>
    </w:p>
    <w:p>
      <w:pPr>
        <w:spacing w:after="120"/>
      </w:pPr>
      <w:r>
        <w:rPr>
          <w:rFonts w:ascii="Arial" w:cs="Arial" w:eastAsia="Arial" w:hAnsi="Arial"/>
          <w:color w:val="404040"/>
          <w:sz w:val="20"/>
          <w:szCs w:val="20"/>
        </w:rPr>
        <w:t xml:space="preserve">The following table summarizes all 15 issues resolved during deployment. Full details including SQL code samples and root cause analysis are in LESSONS_LEARNED.md.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80"/>
        <w:gridCol w:w="3280"/>
      </w:tblGrid>
      <w:tr>
        <w:tc>
          <w:tcPr>
            <w:tcW w:type="dxa" w:w="6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320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Issue</w:t>
            </w:r>
          </w:p>
        </w:tc>
        <w:tc>
          <w:tcPr>
            <w:tcW w:type="dxa" w:w="228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3280"/>
            <w:tcBorders>
              <w:top w:val="single" w:color="B4C6E7" w:sz="1"/>
              <w:left w:val="single" w:color="B4C6E7" w:sz="1"/>
              <w:bottom w:val="single" w:color="B4C6E7" w:sz="1"/>
              <w:right w:val="single" w:color="B4C6E7"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Resolution</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CONCAT() only supports 2 args</w:t>
            </w:r>
          </w:p>
        </w:tc>
        <w:tc>
          <w:tcPr>
            <w:tcW w:type="dxa" w:w="2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SQL Compat</w:t>
            </w:r>
          </w:p>
        </w:tc>
        <w:tc>
          <w:tcPr>
            <w:tcW w:type="dxa" w:w="3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Replaced with || pipe operator</w:t>
            </w:r>
          </w:p>
        </w:tc>
      </w:tr>
      <w:tr>
        <w:tc>
          <w:tcPr>
            <w:tcW w:type="dxa" w:w="6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2</w:t>
            </w:r>
          </w:p>
        </w:tc>
        <w:tc>
          <w:tcPr>
            <w:tcW w:type="dxa" w:w="3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BOOLEAN cannot receive VARCHAR</w:t>
            </w:r>
          </w:p>
        </w:tc>
        <w:tc>
          <w:tcPr>
            <w:tcW w:type="dxa" w:w="2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SQL Compat</w:t>
            </w:r>
          </w:p>
        </w:tc>
        <w:tc>
          <w:tcPr>
            <w:tcW w:type="dxa" w:w="3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Cast through INT first</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Boolean source needs ::INT::VARCHAR</w:t>
            </w:r>
          </w:p>
        </w:tc>
        <w:tc>
          <w:tcPr>
            <w:tcW w:type="dxa" w:w="2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SQL Compat</w:t>
            </w:r>
          </w:p>
        </w:tc>
        <w:tc>
          <w:tcPr>
            <w:tcW w:type="dxa" w:w="3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Added explicit cast chain</w:t>
            </w:r>
          </w:p>
        </w:tc>
      </w:tr>
      <w:tr>
        <w:tc>
          <w:tcPr>
            <w:tcW w:type="dxa" w:w="6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4</w:t>
            </w:r>
          </w:p>
        </w:tc>
        <w:tc>
          <w:tcPr>
            <w:tcW w:type="dxa" w:w="3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Column name mismatch (date)</w:t>
            </w:r>
          </w:p>
        </w:tc>
        <w:tc>
          <w:tcPr>
            <w:tcW w:type="dxa" w:w="2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Schema</w:t>
            </w:r>
          </w:p>
        </w:tc>
        <w:tc>
          <w:tcPr>
            <w:tcW w:type="dxa" w:w="3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Renamed to match DDL</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5</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Schema reference errors (l1 vs l3)</w:t>
            </w:r>
          </w:p>
        </w:tc>
        <w:tc>
          <w:tcPr>
            <w:tcW w:type="dxa" w:w="2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Schema</w:t>
            </w:r>
          </w:p>
        </w:tc>
        <w:tc>
          <w:tcPr>
            <w:tcW w:type="dxa" w:w="3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Corrected schema prefixes</w:t>
            </w:r>
          </w:p>
        </w:tc>
      </w:tr>
      <w:tr>
        <w:tc>
          <w:tcPr>
            <w:tcW w:type="dxa" w:w="6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6</w:t>
            </w:r>
          </w:p>
        </w:tc>
        <w:tc>
          <w:tcPr>
            <w:tcW w:type="dxa" w:w="3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L1 table names don't match DDL</w:t>
            </w:r>
          </w:p>
        </w:tc>
        <w:tc>
          <w:tcPr>
            <w:tcW w:type="dxa" w:w="2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Schema</w:t>
            </w:r>
          </w:p>
        </w:tc>
        <w:tc>
          <w:tcPr>
            <w:tcW w:type="dxa" w:w="3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Aligned naming convention</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7</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Missing columns in dim_worker_job_d</w:t>
            </w:r>
          </w:p>
        </w:tc>
        <w:tc>
          <w:tcPr>
            <w:tcW w:type="dxa" w:w="2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DDL</w:t>
            </w:r>
          </w:p>
        </w:tc>
        <w:tc>
          <w:tcPr>
            <w:tcW w:type="dxa" w:w="3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Added management_level_code, job_matrix</w:t>
            </w:r>
          </w:p>
        </w:tc>
      </w:tr>
      <w:tr>
        <w:tc>
          <w:tcPr>
            <w:tcW w:type="dxa" w:w="6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8</w:t>
            </w:r>
          </w:p>
        </w:tc>
        <w:tc>
          <w:tcPr>
            <w:tcW w:type="dxa" w:w="3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QA tests incompatible with Redshift</w:t>
            </w:r>
          </w:p>
        </w:tc>
        <w:tc>
          <w:tcPr>
            <w:tcW w:type="dxa" w:w="2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SQL Compat</w:t>
            </w:r>
          </w:p>
        </w:tc>
        <w:tc>
          <w:tcPr>
            <w:tcW w:type="dxa" w:w="3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Rewrote for Redshift dialect</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9</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Completion report incompatible</w:t>
            </w:r>
          </w:p>
        </w:tc>
        <w:tc>
          <w:tcPr>
            <w:tcW w:type="dxa" w:w="2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SQL Compat</w:t>
            </w:r>
          </w:p>
        </w:tc>
        <w:tc>
          <w:tcPr>
            <w:tcW w:type="dxa" w:w="3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Rewrote for Redshift dialect</w:t>
            </w:r>
          </w:p>
        </w:tc>
      </w:tr>
      <w:tr>
        <w:tc>
          <w:tcPr>
            <w:tcW w:type="dxa" w:w="6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10</w:t>
            </w:r>
          </w:p>
        </w:tc>
        <w:tc>
          <w:tcPr>
            <w:tcW w:type="dxa" w:w="3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L1 COPY needs Redshift options</w:t>
            </w:r>
          </w:p>
        </w:tc>
        <w:tc>
          <w:tcPr>
            <w:tcW w:type="dxa" w:w="2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SQL Compat</w:t>
            </w:r>
          </w:p>
        </w:tc>
        <w:tc>
          <w:tcPr>
            <w:tcW w:type="dxa" w:w="3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Added DELIMITER, IGNOREHEADER, etc.</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11</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Deploy needs block mode for SCD2</w:t>
            </w:r>
          </w:p>
        </w:tc>
        <w:tc>
          <w:tcPr>
            <w:tcW w:type="dxa" w:w="2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Architecture</w:t>
            </w:r>
          </w:p>
        </w:tc>
        <w:tc>
          <w:tcPr>
            <w:tcW w:type="dxa" w:w="3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Single-block API execution</w:t>
            </w:r>
          </w:p>
        </w:tc>
      </w:tr>
      <w:tr>
        <w:tc>
          <w:tcPr>
            <w:tcW w:type="dxa" w:w="6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12</w:t>
            </w:r>
          </w:p>
        </w:tc>
        <w:tc>
          <w:tcPr>
            <w:tcW w:type="dxa" w:w="3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Cartesian product in as-of JOINs</w:t>
            </w:r>
          </w:p>
        </w:tc>
        <w:tc>
          <w:tcPr>
            <w:tcW w:type="dxa" w:w="2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Data Quality</w:t>
            </w:r>
          </w:p>
        </w:tc>
        <w:tc>
          <w:tcPr>
            <w:tcW w:type="dxa" w:w="3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Two-step temp table + exact = JOIN</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13</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Grade profile duplicates (5x)</w:t>
            </w:r>
          </w:p>
        </w:tc>
        <w:tc>
          <w:tcPr>
            <w:tcW w:type="dxa" w:w="2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Data Quality</w:t>
            </w:r>
          </w:p>
        </w:tc>
        <w:tc>
          <w:tcPr>
            <w:tcW w:type="dxa" w:w="3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Deduped by min surrogate key</w:t>
            </w:r>
          </w:p>
        </w:tc>
      </w:tr>
      <w:tr>
        <w:tc>
          <w:tcPr>
            <w:tcW w:type="dxa" w:w="6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14</w:t>
            </w:r>
          </w:p>
        </w:tc>
        <w:tc>
          <w:tcPr>
            <w:tcW w:type="dxa" w:w="3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Ref dim valid_from breaks history</w:t>
            </w:r>
          </w:p>
        </w:tc>
        <w:tc>
          <w:tcPr>
            <w:tcW w:type="dxa" w:w="2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Data Quality</w:t>
            </w:r>
          </w:p>
        </w:tc>
        <w:tc>
          <w:tcPr>
            <w:tcW w:type="dxa" w:w="32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Changed to anchor date 2000-01-01</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15</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Lambda ID format mismatch</w:t>
            </w:r>
          </w:p>
        </w:tc>
        <w:tc>
          <w:tcPr>
            <w:tcW w:type="dxa" w:w="2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Lambda</w:t>
            </w:r>
          </w:p>
        </w:tc>
        <w:tc>
          <w:tcPr>
            <w:tcW w:type="dxa" w:w="3280"/>
            <w:tcBorders>
              <w:top w:val="single" w:color="B4C6E7" w:sz="1"/>
              <w:left w:val="single" w:color="B4C6E7" w:sz="1"/>
              <w:bottom w:val="single" w:color="B4C6E7" w:sz="1"/>
              <w:right w:val="single" w:color="B4C6E7" w:sz="1"/>
            </w:tcBorders>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Switched to natural key JOINs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WAR Lab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2026-02-06T15:46:56.468Z</dcterms:created>
  <dcterms:modified xsi:type="dcterms:W3CDTF">2026-02-06T15:46:56.468Z</dcterms:modified>
</cp:coreProperties>
</file>

<file path=docProps/custom.xml><?xml version="1.0" encoding="utf-8"?>
<Properties xmlns="http://schemas.openxmlformats.org/officeDocument/2006/custom-properties" xmlns:vt="http://schemas.openxmlformats.org/officeDocument/2006/docPropsVTypes"/>
</file>