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5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5"/>
              </w:rPr>
              <w:t>Kampala, Uganda · +256 772 849258  ·  +256 701 849258 · info@fairbanksmedicalcentre.org</w:t>
            </w:r>
          </w:p>
        </w:tc>
        <w:tc>
          <w:tcPr>
            <w:tcW w:type="dxa" w:w="5553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528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28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AT A GLANCE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Nearly 30 years in HR and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in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leadership for 2,000+ employees across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SKILLS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Strategy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Organisational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Talent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Change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Performance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Employee Relations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Corporate Governance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Leadership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Analytics / HRIS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EDUCATION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Member, Federation of Uganda Employers (FUE)  ·  English (Fluent)  ·  Luganda (Fluent)</w:t>
            </w:r>
          </w:p>
        </w:tc>
        <w:tc>
          <w:tcPr>
            <w:tcW w:type="dxa" w:w="5553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performance systems and HR policy.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welfare, labour compliance and staff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EXECUTIVE VALUE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Human Capital Strategy and change.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Builder of HR governance, workforce and performance systems.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Healthcare leader connecting people strategy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Partnership builder across government, insurers and development organisations.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RESEARCH FOCUS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Resource Analytics  ·  Artificial Intelligence  ·  Organisational Behaviour  ·  Occupational Burnout  ·  Employee Wellbeing</w:t>
            </w:r>
          </w:p>
        </w:tc>
      </w:tr>
    </w:tbl>
    <w:sectPr w:rsidR="00FC693F" w:rsidRPr="0006063C" w:rsidSect="00034616">
      <w:pgSz w:w="12240" w:h="15840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