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93" w:lineRule="auto"/>
        <w:jc w:val="center"/>
      </w:pPr>
      <w:r>
        <w:rPr>
          <w:rFonts w:ascii="Calibri" w:hAnsi="Calibri" w:eastAsia="Calibri"/>
          <w:b/>
          <w:i w:val="0"/>
          <w:color w:val="0D6E6E"/>
          <w:sz w:val="24"/>
        </w:rPr>
        <w:t>AUDA-NEPAD Youth SRH Ambassadors Initiative 2026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/>
          <w:i w:val="0"/>
          <w:color w:val="0A1F2E"/>
          <w:sz w:val="44"/>
        </w:rPr>
        <w:t>Ambassador Nomination — Advocacy &amp; Community Mobilisation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6"/>
        </w:rPr>
        <w:t>FairBanks Community Health Intelligence Platform (FCHIP)</w:t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0551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_cinematic_op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551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Bridging grassroots outreach with continental youth SRH leadership</w:t>
      </w:r>
    </w:p>
    <w:p>
      <w:pPr>
        <w:spacing w:after="40" w:line="293" w:lineRule="auto"/>
        <w:jc w:val="center"/>
      </w:pPr>
      <w:r>
        <w:rPr>
          <w:rFonts w:ascii="Calibri" w:hAnsi="Calibri" w:eastAsia="Calibri"/>
          <w:b/>
          <w:i w:val="0"/>
          <w:color w:val="C45C26"/>
          <w:sz w:val="20"/>
        </w:rPr>
        <w:t>Application deadline: 17 July 2026</w:t>
      </w:r>
    </w:p>
    <w:p>
      <w:pPr>
        <w:spacing w:after="280" w:line="293" w:lineRule="auto"/>
        <w:jc w:val="center"/>
      </w:pPr>
      <w:r>
        <w:rPr>
          <w:rFonts w:ascii="Calibri" w:hAnsi="Calibri" w:eastAsia="Calibri"/>
          <w:b w:val="0"/>
          <w:i w:val="0"/>
          <w:color w:val="0D6E6E"/>
          <w:sz w:val="16"/>
        </w:rPr>
        <w:t>https://opportunitiesforyouth.org/2026/06/13/african-union-youth-srh-ambassadors-initiative-2026-apply-to-become-an-auda-nepad-youth-srh-ambassador/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1. Nomination statement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I am applying to serve as an AUDA-NEPAD Youth SRH Ambassador because sexual and reproductive health is central to Africa’s demographic dividend — and because I already mobilise young people through FairBanks Community Reach in Kampala. Ambassadors should bridge grassroots truth and continental policy; my daily work lives in that bridge.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2. SRH advocacy through FairBanks outreach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facilitator_canopy_01_op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Community mobilisation under the canopy — where SRH conversations start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School and community dialogues on adolescent SRH through FairBanks outreach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Maternal health education linking ANC uptake, safe pregnancy, and partner involvement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Digital content that meets young people where they are — without shame or jargon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Peer mobilisation through CHWs/VHTs who already hold community trust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FCHIP, our community health intelligence layer, helps us see where adolescent and maternal gaps cluster — so advocacy is evidence-informed, not guesswork.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3. Community mobilisation in Kampala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audience_discussion_01_op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Dialogue-first mobilisation — peers, CHWs, and facilitators together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In Bukoto, Kyebando, Kisaasi, Kamwokya, Kikaaya, and surrounding communities we run outreach on maternal health, adolescent wellbeing, chronic screening, and home visits. CHWs and VHTs translate SRH messages into trusted, local action.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4. Energize Africa and Agenda 2063 alignment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Youth as co-creators — not passive beneficiaries — in SRH programming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Grassroots realities from Kampala communities informing continental advocacy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Linking SRH to livelihoods, education, and the demographic dividend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Amplifying AUDA-NEPAD frameworks through lived FairBanks field experience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Goal 18 — engaged and empowered youth — is not a poster on our wall. It is the design principle for how we run programmes and how I would represent youth SRH continentally.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5. Ambassador commitments if selected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training_presenter_01_op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Training the next peer advocates through FairBanks pathways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Monthly advocacy content tied to outreach calendars and adolescent/maternal programmes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Report anonymised community insights upward — what youth actually ask in the field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Support A2DSRH and Energize Africa messaging with honest, local-language examples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Mentor younger peer advocates through FairBanks Community Reach volunteer pathways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6. What the continental platform adds to this work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FairBanks will keep delivering care and outreach regardless. Ambassador status amplifies what already works — connecting Kampala field lessons to Africa-wide SRH dialogue.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Official ambassador recognition and continental SRH platforms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Training, mentorship, and networking with policy and youth leaders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Visibility to translate Kampala outreach lessons into Africa-wide dialogue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Sponsored participation in selected AUDA-NEPAD engagements where appropriate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hands_raised_01_op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Youth SRH leadership rooted in community — Your health, our mission.</w:t>
      </w:r>
    </w:p>
    <w:p>
      <w:pPr>
        <w:spacing w:after="16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spacing w:after="16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6"/>
        </w:rPr>
        <w:t>Source: https://opportunitiesforyouth.org/2026/06/13/african-union-youth-srh-ambassadors-initiative-2026-apply-to-become-an-auda-nepad-youth-srh-ambassador/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