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IFAD Grant — Rural Sector Performance Assessment (up to US$1.2M)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Concept Note — Health–Livelihood Intelligence for Rural Policy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24"/>
        </w:rPr>
        <w:t>Linking community health signals to rural development performance and investment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Health for All — Obulamu eri Bonna · Afya kwa Wote · Oburamu bwa Boona</w:t>
      </w:r>
    </w:p>
    <w:p>
      <w:pPr>
        <w:spacing w:after="40" w:line="293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0"/>
        </w:rPr>
        <w:t>Optional non-binding Expression of Interest by 31 July 2026 · Full proposal by 4 September 2026 (12:00 CET)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https://opportunitiesforyouth.org/2026/07/14/ifad-announces-us1-2-million-grant-call-for-proposals-to-strengthen-rural-development-policies-worldwide/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Concept note summary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IFAD seeks proposals up to US$1.2M to leverage the Rural Sector Performance Assessment for better policy and investment — open to non-profits, private firms, universities, and think tanks.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FairBanks' cascade already links health to livelihoods and resilient families. FCHIP can contribute community health and vulnerability signals that make rural performance assessment more human-centred. This pack frames a careful, partnership-ready fit — to be confirmed against IFAD's detailed thematic guidance before full proposal effort.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Thematic fit verification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treat thematic alignment as a gate, not an assumption. Before investing full proposal effort, FairBanks will submit an optional Expression of Interest (31 July 2026) and review IFAD's detailed guidance against our proposed health–livelihood indicators.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If official guidance confirms fit, we proceed to a full proposal by 4 September 2026. If not, we will not stretch the narrative beyond what the call supports — protecting evaluator time and our own integrity.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Health shocks and rural livelihoods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outdoor_clinic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outreach — where health meets livelihoods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Rural policy often tracks production and infrastructure while under-weighting health shocks that wipe out household gains. A fever outbreak, a complicated pregnancy, or untreated hypertension can erase months of farm income and push families into debt.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Without community health intelligence, rural performance assessments miss a core driver of poverty. FairBanks sees this daily through outreach in peri-urban and rural-facing catchments around Kampala and partner communities.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FCHIP contribution to rural performance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Health signals on the FairBanks community cascade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propose a workstream where FCHIP community indicators — illness clusters, maternal risk, missed care, medicine stock-outs — inform rural performance dashboards and policy briefs, co-designed with research institutes and IFAD partners.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FairBanks cascade connects community members, CHWs/VHTs, outreach programmes, clinical care, research partnerships, and economic empowerment. FCHIP is the intelligence layer that makes health–livelihood linkages visible to policymakers.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Partnership and counterpart model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brings field operations, CHW networks, and data stewardship. We expect to partner with a university or think tank for rigorous assessment design, ethics review, and policy writing.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IFAD requires 20–25% counterpart contribution. FairBanks will meet this through in-kind field operations, staff time, outreach infrastructure, and existing digital health foundations — not as a cash substitute for core research costs.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Proposed workstreams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Health-shock markers linked to livelihood stress in rural performance dashboards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Community-generated indicators from CHW outreach and clinic encounters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Policy briefs translating FCHIP signals into rural investment priorities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Partner-led evaluation design with academic / think-tank co-authorship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7. Pathway — EOI to policy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6624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By 31 Jul 2026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Optional non-binding Expression of Interest to test thematic fit</w:t>
            </w:r>
          </w:p>
        </w:tc>
      </w:tr>
      <w:tr>
        <w:tc>
          <w:tcPr>
            <w:tcW w:type="dxa" w:w="259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Review</w:t>
            </w:r>
          </w:p>
        </w:tc>
        <w:tc>
          <w:tcPr>
            <w:tcW w:type="dxa" w:w="662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Confirm alignment with IFAD Rural Sector Performance Assessment guidance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By 4 Sep 2026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Full proposal only if thematic fit is confirmed</w:t>
            </w:r>
          </w:p>
        </w:tc>
      </w:tr>
      <w:tr>
        <w:tc>
          <w:tcPr>
            <w:tcW w:type="dxa" w:w="259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Year 1–2</w:t>
            </w:r>
          </w:p>
        </w:tc>
        <w:tc>
          <w:tcPr>
            <w:tcW w:type="dxa" w:w="662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Pilot health–livelihood indicators in FairBanks / partner rural catchments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Learning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Policy notes for IFAD, national stakeholders, and rural investment planners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8. Indicative resources and counterpart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608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  <w:tc>
          <w:tcPr>
            <w:tcW w:type="dxa" w:w="1728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Research &amp; assessment design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Methods, partner contracts, ethics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Share of grant</w:t>
            </w:r>
          </w:p>
        </w:tc>
      </w:tr>
      <w:tr>
        <w:tc>
          <w:tcPr>
            <w:tcW w:type="dxa" w:w="2880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Community data &amp; FCHIP modules</w:t>
            </w:r>
          </w:p>
        </w:tc>
        <w:tc>
          <w:tcPr>
            <w:tcW w:type="dxa" w:w="460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Indicators, dashboards, data quality</w:t>
            </w:r>
          </w:p>
        </w:tc>
        <w:tc>
          <w:tcPr>
            <w:tcW w:type="dxa" w:w="172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Share of grant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Policy engagement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Briefs, stakeholder dialogues, learning events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Share of grant</w:t>
            </w:r>
          </w:p>
        </w:tc>
      </w:tr>
      <w:tr>
        <w:tc>
          <w:tcPr>
            <w:tcW w:type="dxa" w:w="2880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counterpart</w:t>
            </w:r>
          </w:p>
        </w:tc>
        <w:tc>
          <w:tcPr>
            <w:tcW w:type="dxa" w:w="460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Field ops, CHW supervision, outreach, staff time</w:t>
            </w:r>
          </w:p>
        </w:tc>
        <w:tc>
          <w:tcPr>
            <w:tcW w:type="dxa" w:w="172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20–25% in-kind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Ceiling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Per IFAD call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Up to US$1.2M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9. Mutual value and honest fit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FairBanks gains: Resources to connect health intelligence with rural livelihood policy; university partnerships; evidence that prevention protects income and food security.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IFAD gains: Ground-level health and vulnerability data from community programmes; social-enterprise implementer with field access; SDG-aligned health-shock narrative; counterpart contribution via live operations.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/>
          <w:color w:val="1E2F38"/>
          <w:sz w:val="22"/>
        </w:rPr>
        <w:t>We will submit an EOI and proceed to full proposal only where official IFAD guidance confirms thematic fit.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10. Expression of interest ask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Rural development succeeds when families stay healthy enough to work and thrive. FairBanks can help IFAD see that link clearly — with rigorous partners and community-rooted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From community health signals to rural policy learning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https://opportunitiesforyouth.org/2026/07/14/ifad-announces-us1-2-million-grant-call-for-proposals-to-strengthen-rural-development-policies-worldwide/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