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0D6E6E"/>
          <w:sz w:val="24"/>
        </w:rPr>
        <w:t>Brandtech Group AI for Good Scholarship 2026 — One Young World</w:t>
      </w:r>
    </w:p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0A1F2E"/>
          <w:sz w:val="44"/>
        </w:rPr>
        <w:t>Nominee Profile — Responsible AI for Community Health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i/>
          <w:color w:val="C45C26"/>
          <w:sz w:val="26"/>
        </w:rPr>
        <w:t>From Kampala outreach to Cape Town — AI that serves communities first</w:t>
      </w:r>
    </w:p>
    <w:p>
      <w:pPr>
        <w:spacing w:after="240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_cinematic_op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AI for good means nothing without communities in the loop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My story</w:t>
      </w:r>
    </w:p>
    <w:p>
      <w:pPr>
        <w:spacing w:after="160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I grew up seeing neighbours wait until illness became an emergency. At FairBanks Community Reach I work where care actually starts — in streets, schools, and home visits with Community Health Workers — not only inside a clinic building. That experience shaped why I build: technology should help CHWs see risk early, not add another app nobody uses.</w:t>
      </w:r>
    </w:p>
    <w:p>
      <w:pPr>
        <w:spacing w:after="160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FairBanks Community Health Intelligence Platform (FCHIP) is my answer — responsible AI on top of our community health cascade. We combine offline mobile capture, machine learning, and GIS mapping so fever clusters, high-risk pregnancies, and NCD hotspots surface before they become crises.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5106" cy="3108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facilitator_canopy_01_op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510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Community outreach — where this work began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The problem I see every week</w:t>
      </w:r>
    </w:p>
    <w:p>
      <w:pPr>
        <w:spacing w:after="160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Health facilities wait for patients. CHWs see warning signs days or weeks earlier — in fevers, missed ANC visits, blood pressure readings, and malnutrition. Without intelligence on that data, we lose the chance to prevent.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3108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m_maternal_health_participant_01_op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Maternal outreach — early signals matter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FCHIP — responsible AI in practice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Human-in-the-loop: CHWs and nurses validate alerts — AI supports, never replaces, clinical judgment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Offline-first design for low-bandwidth communities; no dependency on constant connectivity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Consent and anonymisation aligned with Uganda Data Protection principles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Local-language symptom capture where it improves trust and accuracy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Transparent limits: we publish what models can and cannot do in community settings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Bias awareness: training data includes women, children, elderly, and urban-poor outreach cohorts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5106" cy="3108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tech_collage_op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510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Deep technology in service of community health, not hype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Where AI sits in the FairBanks cascade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6048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Community members</w:t>
            </w:r>
          </w:p>
        </w:tc>
        <w:tc>
          <w:tcPr>
            <w:tcW w:type="dxa" w:w="604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Identify needs; participate in solutions</w:t>
            </w:r>
          </w:p>
        </w:tc>
      </w:tr>
      <w:tr>
        <w:tc>
          <w:tcPr>
            <w:tcW w:type="dxa" w:w="316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CHWs / VHTs</w:t>
            </w:r>
          </w:p>
        </w:tc>
        <w:tc>
          <w:tcPr>
            <w:tcW w:type="dxa" w:w="604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Capture data, educate, refer, follow up</w:t>
            </w:r>
          </w:p>
        </w:tc>
      </w:tr>
      <w:tr>
        <w:tc>
          <w:tcPr>
            <w:tcW w:type="dxa" w:w="316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FCHIP intelligence</w:t>
            </w:r>
          </w:p>
        </w:tc>
        <w:tc>
          <w:tcPr>
            <w:tcW w:type="dxa" w:w="604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Predictive alerts, GIS hotspots, decision support</w:t>
            </w:r>
          </w:p>
        </w:tc>
      </w:tr>
      <w:tr>
        <w:tc>
          <w:tcPr>
            <w:tcW w:type="dxa" w:w="316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FairBanks Medical Centre</w:t>
            </w:r>
          </w:p>
        </w:tc>
        <w:tc>
          <w:tcPr>
            <w:tcW w:type="dxa" w:w="604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Clinical care, pharmacy, specialist referral</w:t>
            </w:r>
          </w:p>
        </w:tc>
      </w:tr>
      <w:tr>
        <w:tc>
          <w:tcPr>
            <w:tcW w:type="dxa" w:w="316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Partners &amp; research</w:t>
            </w:r>
          </w:p>
        </w:tc>
        <w:tc>
          <w:tcPr>
            <w:tcW w:type="dxa" w:w="604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Evidence, scale, policy dialogue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5106" cy="3108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iso_labeled_op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510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Community signals flow up; care and action flow back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Proof of work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Live outreach in Bukoto, Kyebando, Kisaasi, Kamwokya, Kikaaya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Maternal, child, Gericare, and NCD screening programmes generating real field data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Functioning medical centre anchoring referrals and quality assurance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CHW/VHT relationships built on trust — essential for ethical AI adoption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3108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demo_op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Dashboards turn field data into decisions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Cape Town contribution plan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Share a practitioner story: how AI can strengthen — not bypass — community health workers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Join health and technology sessions with examples from Ugandan primary care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Connect with African innovators using AI for social impact — explore partnerships for FCHIP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Bring Cape Town conversations back to FairBanks staff, CHWs, and youth volunteers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Represent responsible AI in health at a summit where marketing hype often drowns out field reality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3108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hands_raised_01_op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Communities participate — summit lessons must return to them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Ethical commitments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Principle</w:t>
            </w:r>
          </w:p>
        </w:tc>
        <w:tc>
          <w:tcPr>
            <w:tcW w:type="dxa" w:w="6912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Practice</w:t>
            </w:r>
          </w:p>
        </w:tc>
      </w:tr>
      <w:tr>
        <w:tc>
          <w:tcPr>
            <w:tcW w:type="dxa" w:w="2304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Privacy</w:t>
            </w:r>
          </w:p>
        </w:tc>
        <w:tc>
          <w:tcPr>
            <w:tcW w:type="dxa" w:w="6912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Household consent; minimum necessary data; secure storage</w:t>
            </w:r>
          </w:p>
        </w:tc>
      </w:tr>
      <w:tr>
        <w:tc>
          <w:tcPr>
            <w:tcW w:type="dxa" w:w="2304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Equity</w:t>
            </w:r>
          </w:p>
        </w:tc>
        <w:tc>
          <w:tcPr>
            <w:tcW w:type="dxa" w:w="6912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Design for users with low digital literacy and basic phones</w:t>
            </w:r>
          </w:p>
        </w:tc>
      </w:tr>
      <w:tr>
        <w:tc>
          <w:tcPr>
            <w:tcW w:type="dxa" w:w="2304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Accountability</w:t>
            </w:r>
          </w:p>
        </w:tc>
        <w:tc>
          <w:tcPr>
            <w:tcW w:type="dxa" w:w="6912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FairBanks clinical team reviews flagged cases</w:t>
            </w:r>
          </w:p>
        </w:tc>
      </w:tr>
      <w:tr>
        <w:tc>
          <w:tcPr>
            <w:tcW w:type="dxa" w:w="2304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Sustainability</w:t>
            </w:r>
          </w:p>
        </w:tc>
        <w:tc>
          <w:tcPr>
            <w:tcW w:type="dxa" w:w="6912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Open documentation so partners can audit and extend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Mutual value</w:t>
      </w:r>
    </w:p>
    <w:p>
      <w:pPr>
        <w:spacing w:after="160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For One Young World and Brandtech: a nominee who builds AI in real African primary care — with ethics, offline constraints, and CHW partnership at the centre.</w:t>
      </w:r>
    </w:p>
    <w:p>
      <w:pPr>
        <w:spacing w:after="160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For FairBanks: global visibility, partnerships, and skills that strengthen FCHIP and Community Reach after Cape Town.</w:t>
      </w:r>
    </w:p>
    <w:p>
      <w:pPr>
        <w:spacing w:after="160"/>
        <w:jc w:val="left"/>
      </w:pPr>
      <w:r>
        <w:rPr>
          <w:rFonts w:ascii="Calibri" w:hAnsi="Calibri" w:eastAsia="Calibri"/>
          <w:b w:val="0"/>
          <w:i/>
          <w:color w:val="3A4A54"/>
          <w:sz w:val="18"/>
        </w:rPr>
        <w:t>Scholarship details: see the official AI for Good programme page.</w:t>
      </w:r>
    </w:p>
    <w:p>
      <w:pPr>
        <w:spacing w:after="160"/>
        <w:jc w:val="left"/>
      </w:pPr>
      <w:r>
        <w:rPr>
          <w:rFonts w:ascii="Calibri" w:hAnsi="Calibri" w:eastAsia="Calibri"/>
          <w:b w:val="0"/>
          <w:i w:val="0"/>
          <w:color w:val="0D6E6E"/>
          <w:sz w:val="16"/>
        </w:rPr>
        <w:t>https://opportunitiesforyouth.org/2026/07/15/ai-for-good-scholarship-2025-empowering-young-innovators-to-address-global-challenges/</w:t>
      </w:r>
    </w:p>
    <w:p>
      <w:pPr>
        <w:spacing w:after="160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