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Calibri"/>
          <w:b/>
          <w:i w:val="0"/>
          <w:color w:val="0D6E6E"/>
          <w:sz w:val="24"/>
        </w:rPr>
        <w:t>World Health Summit 2026 — Youth Group Opportunity (Berlin)</w:t>
      </w:r>
    </w:p>
    <w:p>
      <w:pPr>
        <w:spacing w:after="80"/>
        <w:jc w:val="center"/>
      </w:pPr>
      <w:r>
        <w:rPr>
          <w:rFonts w:ascii="Calibri" w:hAnsi="Calibri" w:eastAsia="Calibri"/>
          <w:b/>
          <w:i w:val="0"/>
          <w:color w:val="0A1F2E"/>
          <w:sz w:val="44"/>
        </w:rPr>
        <w:t>FairBanks Youth Delegation Application</w:t>
      </w:r>
    </w:p>
    <w:p>
      <w:pPr>
        <w:spacing w:after="120"/>
        <w:jc w:val="center"/>
      </w:pPr>
      <w:r>
        <w:rPr>
          <w:rFonts w:ascii="Calibri" w:hAnsi="Calibri" w:eastAsia="Calibri"/>
          <w:b w:val="0"/>
          <w:i/>
          <w:color w:val="C45C26"/>
          <w:sz w:val="26"/>
        </w:rPr>
        <w:t>Learning global prevention practice to strengthen community health at home</w:t>
      </w:r>
    </w:p>
    <w:p>
      <w:pPr>
        <w:spacing w:after="240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hero_cinematic_op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Youth-led community health — from Kampala neighbourhoods to global dialogue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Our organisation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Community Reach is a youth-led community health initiative rooted in Kampala, Uganda. We work alongside Community Health Workers and Village Health Teams in neighbourhoods including Bukoto, Kyebando, Kisaasi, Kamwokya, and Kikaaya — running outreach, screening, maternal support, and health education where clinics alone cannot reach.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We are building FairBanks Community Health Intelligence Platform (FCHIP) — the intelligence layer on our community cascade — so field data becomes early warnings instead of paper that arrives too late. Our delegation would bring that lived, last-mile perspective to Berlin.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5106" cy="3108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audience_full_group_01_op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5106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Community outreach — where our delegation's stories begin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Why we seek WHS 2026 tickets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Represent Ugandan community health practice at a global table — not as observers, but as practitioners who screen, refer, and follow up every week.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Learn how leading health systems, researchers, and youth networks approach prevention, digital health governance, and pandemic preparedness — then translate lessons for our CHWs.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Connect FairBanks outreach and FCHIP pilot work to partners who care about primary care in underserved regions.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cofacilitators_01_op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Young facilitators and CHW partners in the field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Learning agenda in Berlin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Theme</w:t>
            </w:r>
          </w:p>
        </w:tc>
        <w:tc>
          <w:tcPr>
            <w:tcW w:type="dxa" w:w="6048"/>
            <w:shd w:fill="0D6E6E"/>
            <w:tcBorders>
              <w:top w:val="single" w:sz="8" w:color="0D6E6E"/>
              <w:left w:val="single" w:sz="8" w:color="0D6E6E"/>
              <w:bottom w:val="single" w:sz="8" w:color="0D6E6E"/>
              <w:right w:val="single" w:sz="8" w:color="0D6E6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we will absorb and bring home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Prevention &amp; primary care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Shift from reactive treatment to community-level early action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Digital health &amp; ethics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Responsible data use in low-resource, offline-first settings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Youth leadership in health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How young changemakers influence policy and programme design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Maternal &amp; child health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Best practice we can adapt for home visits and ANC follow-up</w:t>
            </w:r>
          </w:p>
        </w:tc>
      </w:tr>
      <w:tr>
        <w:tc>
          <w:tcPr>
            <w:tcW w:type="dxa" w:w="316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NCDs &amp; ageing</w:t>
            </w:r>
          </w:p>
        </w:tc>
        <w:tc>
          <w:tcPr>
            <w:tcW w:type="dxa" w:w="6048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Screening models relevant to our chronic-care and Gericare programmes</w:t>
            </w:r>
          </w:p>
        </w:tc>
      </w:tr>
      <w:tr>
        <w:tc>
          <w:tcPr>
            <w:tcW w:type="dxa" w:w="316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Global health partnerships</w:t>
            </w:r>
          </w:p>
        </w:tc>
        <w:tc>
          <w:tcPr>
            <w:tcW w:type="dxa" w:w="6048"/>
            <w:shd w:fill="F7F5F0"/>
            <w:tcBorders>
              <w:top w:val="single" w:sz="8" w:color="D0DCDC"/>
              <w:left w:val="single" w:sz="8" w:color="D0DCDC"/>
              <w:bottom w:val="single" w:sz="8" w:color="D0DCDC"/>
              <w:right w:val="single" w:sz="8" w:color="D0DCDC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E2F38"/>
                <w:sz w:val="20"/>
              </w:rPr>
              <w:t>NGO, academic, and government collaboration models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oor_training_audience_01_op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We train and learn continuously — WHS extends that habit globally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What we contribute to the summit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Stories from real outreach — what works and what fails in last-mile Uganda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A prevention-first narrative grounded in CHW/VHT practice, not hospital-centric theory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Experience bridging community dialogues, clinic care, and emerging digital tools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Commitment to share the summit with peers who cannot travel — via briefing and open notes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bp_screening_op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Prevention in practice — screening at community level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Post-summit briefing commitment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1E2F38"/>
          <w:sz w:val="22"/>
        </w:rPr>
        <w:t>FairBanks treats summit access as a responsibility to our community, not a private benefit.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Within 30 days of return: host a community briefing for CHWs, VHTs, and FairBanks staff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Publish a simple learning note (English + local-language summary where possible) for partners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Integrate at least three summit insights into FairBanks outreach plans for Q4 2026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Present findings to FairBanks Medical Centre leadership and interested district contacts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E2F38"/>
          <w:sz w:val="22"/>
        </w:rPr>
        <w:t>Maintain connections made in Berlin through FCHIP and Community Reach partnership channels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1089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reach_community_speaker_01_op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Calibri"/>
          <w:b w:val="0"/>
          <w:i/>
          <w:color w:val="3A4A54"/>
          <w:sz w:val="18"/>
        </w:rPr>
        <w:t>Knowledge returns to community dialogues and CHW networks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0A1F2E"/>
          <w:sz w:val="40"/>
        </w:rPr>
        <w:t>Travel &amp; logistics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/>
          <w:color w:val="1E2F38"/>
          <w:sz w:val="22"/>
        </w:rPr>
        <w:t>We understand that complimentary WHS tickets cover summit registration only. FairBanks will self-fund travel, visa, and accommodation for nominated delegates aged 28 or under, as required by the programme. This commitment is documented here — not on the cover page.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/>
          <w:color w:val="3A4A54"/>
          <w:sz w:val="18"/>
        </w:rPr>
        <w:t>Programme details and deadlines: see the official WHS youth group opportunity page.</w:t>
      </w:r>
    </w:p>
    <w:p>
      <w:pPr>
        <w:spacing w:after="160"/>
        <w:jc w:val="left"/>
      </w:pPr>
      <w:r>
        <w:rPr>
          <w:rFonts w:ascii="Calibri" w:hAnsi="Calibri" w:eastAsia="Calibri"/>
          <w:b w:val="0"/>
          <w:i w:val="0"/>
          <w:color w:val="0D6E6E"/>
          <w:sz w:val="16"/>
        </w:rPr>
        <w:t>https://opportunitiesforyouth.org/2026/06/26/apply-now-world-health-summit-2025-stipend-program-for-global-health-changemakers/</w:t>
      </w:r>
    </w:p>
    <w:p>
      <w:pPr>
        <w:spacing w:after="160"/>
        <w:jc w:val="center"/>
      </w:pPr>
      <w:r>
        <w:rPr>
          <w:rFonts w:ascii="Calibri" w:hAnsi="Calibri" w:eastAsia="Calibri"/>
          <w:b/>
          <w:i/>
          <w:color w:val="C45C26"/>
          <w:sz w:val="24"/>
        </w:rPr>
        <w:t>Your health, our mission.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