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Aptos Display" w:hAnsi="Aptos Display" w:cs="Aptos Display"/>
          <w:b/>
          <w:i w:val="0"/>
          <w:caps w:val="0"/>
          <w:color w:val="165A43"/>
          <w:sz w:val="34"/>
        </w:rPr>
        <w:t>FAIRBANKS MEDICAL CENTRE LIMITED</w:t>
      </w:r>
    </w:p>
    <w:p>
      <w:pPr>
        <w:spacing w:before="0" w:after="0" w:line="276" w:lineRule="auto"/>
        <w:jc w:val="center"/>
      </w:pPr>
      <w:r>
        <w:rPr>
          <w:rFonts w:ascii="Aptos" w:hAnsi="Aptos" w:cs="Aptos"/>
          <w:b w:val="0"/>
          <w:i/>
          <w:caps w:val="0"/>
          <w:color w:val="165A43"/>
          <w:sz w:val="20"/>
        </w:rPr>
        <w:t>Your Health, Our Mission</w:t>
      </w:r>
    </w:p>
    <w:p>
      <w:pPr>
        <w:spacing w:before="0" w:after="140" w:line="276" w:lineRule="auto"/>
        <w:pBdr>
          <w:top w:val="single" w:sz="12" w:space="4" w:color="165A43"/>
        </w:pBdr>
      </w:pPr>
      <w:r>
        <w:rPr>
          <w:rFonts w:ascii="Aptos" w:hAnsi="Aptos" w:cs="Aptos"/>
          <w:b w:val="0"/>
          <w:i w:val="0"/>
          <w:caps w:val="0"/>
          <w:color w:val="222222"/>
          <w:sz w:val="21"/>
        </w:rPr>
      </w:r>
    </w:p>
    <w:p>
      <w:pPr>
        <w:spacing w:before="0" w:after="0" w:line="276" w:lineRule="auto"/>
        <w:jc w:val="center"/>
      </w:pPr>
      <w:r>
        <w:rPr>
          <w:rFonts w:ascii="Aptos Display" w:hAnsi="Aptos Display" w:cs="Aptos Display"/>
          <w:b/>
          <w:i w:val="0"/>
          <w:caps w:val="0"/>
          <w:color w:val="165A43"/>
          <w:sz w:val="30"/>
        </w:rPr>
        <w:t>INVESTMENT PROPOSAL</w:t>
      </w:r>
    </w:p>
    <w:p>
      <w:pPr>
        <w:spacing w:before="0" w:after="40" w:line="276" w:lineRule="auto"/>
        <w:jc w:val="center"/>
      </w:pPr>
      <w:r>
        <w:rPr>
          <w:rFonts w:ascii="Aptos" w:hAnsi="Aptos" w:cs="Aptos"/>
          <w:b w:val="0"/>
          <w:i w:val="0"/>
          <w:caps w:val="0"/>
          <w:color w:val="165A43"/>
          <w:sz w:val="24"/>
        </w:rPr>
        <w:t>Maternity and Inpatient Unit with Obstetric Theatre</w:t>
      </w:r>
    </w:p>
    <w:p>
      <w:pPr>
        <w:spacing w:before="0" w:after="200" w:line="276" w:lineRule="auto"/>
        <w:jc w:val="center"/>
      </w:pPr>
      <w:r>
        <w:rPr>
          <w:rFonts w:ascii="Aptos" w:hAnsi="Aptos" w:cs="Aptos"/>
          <w:b w:val="0"/>
          <w:i w:val="0"/>
          <w:caps w:val="0"/>
          <w:color w:val="222222"/>
          <w:sz w:val="19"/>
        </w:rPr>
        <w:t>Prepared for Mr. Alex Kivumbi   |   7 September 2026</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10224"/>
      </w:tblGrid>
      <w:tr>
        <w:tc>
          <w:tcPr>
            <w:tcW w:type="dxa" w:w="10224"/>
            <w:shd w:val="clear" w:color="auto" w:fill="EAF4EF"/>
          </w:tcPr>
          <w:p>
            <w:pPr>
              <w:spacing w:after="40" w:line="264" w:lineRule="auto"/>
            </w:pPr>
            <w:r>
              <w:rPr>
                <w:rFonts w:ascii="Aptos" w:hAnsi="Aptos" w:cs="Aptos"/>
                <w:b/>
                <w:i w:val="0"/>
                <w:caps/>
                <w:color w:val="165A43"/>
                <w:sz w:val="18"/>
              </w:rPr>
              <w:t>In short</w:t>
            </w:r>
          </w:p>
          <w:p>
            <w:pPr>
              <w:spacing w:before="0" w:after="20" w:line="276" w:lineRule="auto"/>
            </w:pPr>
            <w:r>
              <w:rPr>
                <w:rFonts w:ascii="Aptos" w:hAnsi="Aptos" w:cs="Aptos"/>
                <w:b w:val="0"/>
                <w:i w:val="0"/>
                <w:caps w:val="0"/>
                <w:color w:val="222222"/>
                <w:sz w:val="19"/>
              </w:rPr>
              <w:t>FairBanks is asking for UGX 190–265M to complete and commission a maternity and inpatient unit with its own obstetric theatre, built in two phases. Phase one costs UGX 75–100M and can begin immediately. Phase two, the theatre, can be committed once phase one is open and reporting.</w:t>
            </w:r>
          </w:p>
        </w:tc>
      </w:tr>
    </w:tbl>
    <w:p>
      <w:pPr>
        <w:spacing w:before="0" w:after="120" w:line="276" w:lineRule="auto"/>
      </w:pPr>
      <w:r>
        <w:rPr>
          <w:rFonts w:ascii="Aptos" w:hAnsi="Aptos" w:cs="Aptos"/>
          <w:b w:val="0"/>
          <w:i w:val="0"/>
          <w:caps w:val="0"/>
          <w:color w:val="222222"/>
          <w:sz w:val="21"/>
        </w:rPr>
      </w:r>
    </w:p>
    <w:p>
      <w:pPr>
        <w:keepNext/>
        <w:spacing w:before="280" w:after="120" w:line="276" w:lineRule="auto"/>
        <w:pBdr>
          <w:top w:val="single" w:sz="6" w:space="4" w:color="165A43"/>
        </w:pBdr>
      </w:pPr>
      <w:r>
        <w:rPr>
          <w:rFonts w:ascii="Aptos Display" w:hAnsi="Aptos Display" w:cs="Aptos Display"/>
          <w:b/>
          <w:i w:val="0"/>
          <w:caps w:val="0"/>
          <w:color w:val="165A43"/>
          <w:sz w:val="24"/>
        </w:rPr>
        <w:t>1.  Why maternity, and why now</w:t>
      </w:r>
    </w:p>
    <w:p>
      <w:pPr>
        <w:spacing w:before="0" w:after="160" w:line="276" w:lineRule="auto"/>
        <w:jc w:val="both"/>
      </w:pPr>
      <w:r>
        <w:rPr>
          <w:rFonts w:ascii="Aptos" w:hAnsi="Aptos" w:cs="Aptos"/>
          <w:b w:val="0"/>
          <w:i w:val="0"/>
          <w:caps w:val="0"/>
          <w:color w:val="222222"/>
          <w:sz w:val="21"/>
        </w:rPr>
        <w:t>FairBanks Medical Centre operates in Kyebando-Kisalosalo, on the Northern Bypass. The centre is licensed and running: outpatient consultations, laboratory, pharmacy, X-ray, specialist clinics, physiotherapy and a 24-hour emergency service, together producing between UGX 8M and UGX 12M a month. We accept CIC and AAR, with Jubilee and Mutual in process.</w:t>
      </w:r>
    </w:p>
    <w:p>
      <w:pPr>
        <w:spacing w:before="0" w:after="160" w:line="276" w:lineRule="auto"/>
        <w:jc w:val="both"/>
      </w:pPr>
      <w:r>
        <w:rPr>
          <w:rFonts w:ascii="Aptos" w:hAnsi="Aptos" w:cs="Aptos"/>
          <w:b w:val="0"/>
          <w:i w:val="0"/>
          <w:caps w:val="0"/>
          <w:color w:val="222222"/>
          <w:sz w:val="21"/>
        </w:rPr>
        <w:t>Obstetrics and gynaecology is already one of our clinics. What we do not have is anywhere to admit the women who use it. An expectant mother can have her antenatal care with us, her scans with us and her medicines from our pharmacy, and then deliver somewhere else, because at the point where she needs a bed we have nothing to offer her. Every one of those deliveries is revenue we have already paid to acquire and then handed to another facility.</w:t>
      </w:r>
    </w:p>
    <w:p>
      <w:pPr>
        <w:spacing w:before="0" w:after="160" w:line="276" w:lineRule="auto"/>
        <w:jc w:val="both"/>
      </w:pPr>
      <w:r>
        <w:rPr>
          <w:rFonts w:ascii="Aptos" w:hAnsi="Aptos" w:cs="Aptos"/>
          <w:b w:val="0"/>
          <w:i w:val="0"/>
          <w:caps w:val="0"/>
          <w:color w:val="222222"/>
          <w:sz w:val="21"/>
        </w:rPr>
        <w:t>The maternity and inpatient unit closes that gap. It is also the only expansion open to us that creates a genuinely new service line rather than adding capacity to one we already run.</w:t>
      </w:r>
    </w:p>
    <w:p>
      <w:pPr>
        <w:keepNext/>
        <w:spacing w:before="280" w:after="120" w:line="276" w:lineRule="auto"/>
        <w:pBdr>
          <w:top w:val="single" w:sz="6" w:space="4" w:color="165A43"/>
        </w:pBdr>
      </w:pPr>
      <w:r>
        <w:rPr>
          <w:rFonts w:ascii="Aptos Display" w:hAnsi="Aptos Display" w:cs="Aptos Display"/>
          <w:b/>
          <w:i w:val="0"/>
          <w:caps w:val="0"/>
          <w:color w:val="165A43"/>
          <w:sz w:val="24"/>
        </w:rPr>
        <w:t>2.  What we are asking you to fund</w:t>
      </w:r>
    </w:p>
    <w:p>
      <w:pPr>
        <w:spacing w:before="0" w:after="160" w:line="276" w:lineRule="auto"/>
        <w:jc w:val="both"/>
      </w:pPr>
      <w:r>
        <w:rPr>
          <w:rFonts w:ascii="Aptos" w:hAnsi="Aptos" w:cs="Aptos"/>
          <w:b w:val="0"/>
          <w:i w:val="0"/>
          <w:caps w:val="0"/>
          <w:color w:val="222222"/>
          <w:sz w:val="21"/>
        </w:rPr>
        <w:t>The work splits cleanly into two phases. Phase one produces a functioning maternity and inpatient ward. Phase two adds the operating theatre and neonatal capacity that let us keep emergencies in the building.</w:t>
      </w:r>
    </w:p>
    <w:p>
      <w:pPr>
        <w:keepNext/>
        <w:spacing w:before="80" w:after="60" w:line="276" w:lineRule="auto"/>
      </w:pPr>
      <w:r>
        <w:rPr>
          <w:rFonts w:ascii="Aptos" w:hAnsi="Aptos" w:cs="Aptos"/>
          <w:b/>
          <w:i w:val="0"/>
          <w:caps w:val="0"/>
          <w:color w:val="165A43"/>
          <w:sz w:val="19"/>
        </w:rPr>
        <w:t>PHASE ONE  —  MATERNITY AND INPATIENT WARD</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2500"/>
        <w:gridCol w:w="5324"/>
        <w:gridCol w:w="2400"/>
      </w:tblGrid>
      <w:tr>
        <w:trPr>
          <w:cantSplit/>
          <w:tblHeader/>
        </w:trPr>
        <w:tc>
          <w:tcPr>
            <w:tcW w:type="dxa" w:w="2500"/>
            <w:shd w:val="clear" w:color="auto" w:fill="165A43"/>
          </w:tcPr>
          <w:p>
            <w:pPr>
              <w:spacing w:before="20" w:after="20" w:line="252" w:lineRule="auto"/>
              <w:jc w:val="left"/>
            </w:pPr>
            <w:r>
              <w:rPr>
                <w:rFonts w:ascii="Aptos" w:hAnsi="Aptos" w:cs="Aptos"/>
                <w:b/>
                <w:i w:val="0"/>
                <w:caps w:val="0"/>
                <w:color w:val="FFFFFF"/>
                <w:sz w:val="17"/>
              </w:rPr>
              <w:t>ITEM</w:t>
            </w:r>
          </w:p>
        </w:tc>
        <w:tc>
          <w:tcPr>
            <w:tcW w:type="dxa" w:w="5324"/>
            <w:shd w:val="clear" w:color="auto" w:fill="165A43"/>
          </w:tcPr>
          <w:p>
            <w:pPr>
              <w:spacing w:before="20" w:after="20" w:line="252" w:lineRule="auto"/>
              <w:jc w:val="left"/>
            </w:pPr>
            <w:r>
              <w:rPr>
                <w:rFonts w:ascii="Aptos" w:hAnsi="Aptos" w:cs="Aptos"/>
                <w:b/>
                <w:i w:val="0"/>
                <w:caps w:val="0"/>
                <w:color w:val="FFFFFF"/>
                <w:sz w:val="17"/>
              </w:rPr>
              <w:t>WHAT IT COVERS</w:t>
            </w:r>
          </w:p>
        </w:tc>
        <w:tc>
          <w:tcPr>
            <w:tcW w:type="dxa" w:w="2400"/>
            <w:shd w:val="clear" w:color="auto" w:fill="165A43"/>
          </w:tcPr>
          <w:p>
            <w:pPr>
              <w:spacing w:before="20" w:after="20" w:line="252" w:lineRule="auto"/>
              <w:jc w:val="right"/>
            </w:pPr>
            <w:r>
              <w:rPr>
                <w:rFonts w:ascii="Aptos" w:hAnsi="Aptos" w:cs="Aptos"/>
                <w:b/>
                <w:i w:val="0"/>
                <w:caps w:val="0"/>
                <w:color w:val="FFFFFF"/>
                <w:sz w:val="17"/>
              </w:rPr>
              <w:t>ESTIMATE</w:t>
            </w:r>
          </w:p>
        </w:tc>
      </w:tr>
      <w:tr>
        <w:trPr>
          <w:cantSplit/>
        </w:trPr>
        <w:tc>
          <w:tcPr>
            <w:tcW w:type="dxa" w:w="2500"/>
            <w:shd w:val="clear" w:color="auto" w:fill="EAF4EF"/>
          </w:tcPr>
          <w:p>
            <w:pPr>
              <w:spacing w:before="20" w:after="20" w:line="252" w:lineRule="auto"/>
              <w:jc w:val="left"/>
            </w:pPr>
            <w:r>
              <w:rPr>
                <w:rFonts w:ascii="Aptos" w:hAnsi="Aptos" w:cs="Aptos"/>
                <w:b w:val="0"/>
                <w:i w:val="0"/>
                <w:caps w:val="0"/>
                <w:color w:val="222222"/>
                <w:sz w:val="18"/>
              </w:rPr>
              <w:t>Ward completion and fit-out</w:t>
            </w:r>
          </w:p>
        </w:tc>
        <w:tc>
          <w:tcPr>
            <w:tcW w:type="dxa" w:w="5324"/>
            <w:shd w:val="clear" w:color="auto" w:fill="EAF4EF"/>
          </w:tcPr>
          <w:p>
            <w:pPr>
              <w:spacing w:before="20" w:after="20" w:line="252" w:lineRule="auto"/>
              <w:jc w:val="left"/>
            </w:pPr>
            <w:r>
              <w:rPr>
                <w:rFonts w:ascii="Aptos" w:hAnsi="Aptos" w:cs="Aptos"/>
                <w:b w:val="0"/>
                <w:i w:val="0"/>
                <w:caps w:val="0"/>
                <w:color w:val="222222"/>
                <w:sz w:val="18"/>
              </w:rPr>
              <w:t>Partitioning, flooring, plumbing, sluice room, washrooms, lighting and power points for the delivery room, postnatal room and inpatient bays</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UGX 22–30M</w:t>
            </w:r>
          </w:p>
        </w:tc>
      </w:tr>
      <w:tr>
        <w:trPr>
          <w:cantSplit/>
        </w:trPr>
        <w:tc>
          <w:tcPr>
            <w:tcW w:type="dxa" w:w="2500"/>
            <w:shd w:val="clear" w:color="auto" w:fill="FFFFFF"/>
          </w:tcPr>
          <w:p>
            <w:pPr>
              <w:spacing w:before="20" w:after="20" w:line="252" w:lineRule="auto"/>
              <w:jc w:val="left"/>
            </w:pPr>
            <w:r>
              <w:rPr>
                <w:rFonts w:ascii="Aptos" w:hAnsi="Aptos" w:cs="Aptos"/>
                <w:b w:val="0"/>
                <w:i w:val="0"/>
                <w:caps w:val="0"/>
                <w:color w:val="222222"/>
                <w:sz w:val="18"/>
              </w:rPr>
              <w:t>Delivery and ward equipment</w:t>
            </w:r>
          </w:p>
        </w:tc>
        <w:tc>
          <w:tcPr>
            <w:tcW w:type="dxa" w:w="5324"/>
            <w:shd w:val="clear" w:color="auto" w:fill="FFFFFF"/>
          </w:tcPr>
          <w:p>
            <w:pPr>
              <w:spacing w:before="20" w:after="20" w:line="252" w:lineRule="auto"/>
              <w:jc w:val="left"/>
            </w:pPr>
            <w:r>
              <w:rPr>
                <w:rFonts w:ascii="Aptos" w:hAnsi="Aptos" w:cs="Aptos"/>
                <w:b w:val="0"/>
                <w:i w:val="0"/>
                <w:caps w:val="0"/>
                <w:color w:val="222222"/>
                <w:sz w:val="18"/>
              </w:rPr>
              <w:t>Two delivery beds, ten patient beds and lockers, delivery and episiotomy sets, examination couches, vital-signs monitors, suction units, a resuscitaire and oxygen concentrators</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UGX 28–36M</w:t>
            </w:r>
          </w:p>
        </w:tc>
      </w:tr>
      <w:tr>
        <w:trPr>
          <w:cantSplit/>
        </w:trPr>
        <w:tc>
          <w:tcPr>
            <w:tcW w:type="dxa" w:w="2500"/>
            <w:shd w:val="clear" w:color="auto" w:fill="EAF4EF"/>
          </w:tcPr>
          <w:p>
            <w:pPr>
              <w:spacing w:before="20" w:after="20" w:line="252" w:lineRule="auto"/>
              <w:jc w:val="left"/>
            </w:pPr>
            <w:r>
              <w:rPr>
                <w:rFonts w:ascii="Aptos" w:hAnsi="Aptos" w:cs="Aptos"/>
                <w:b w:val="0"/>
                <w:i w:val="0"/>
                <w:caps w:val="0"/>
                <w:color w:val="222222"/>
                <w:sz w:val="18"/>
              </w:rPr>
              <w:t>Obstetric ultrasound</w:t>
            </w:r>
          </w:p>
        </w:tc>
        <w:tc>
          <w:tcPr>
            <w:tcW w:type="dxa" w:w="5324"/>
            <w:shd w:val="clear" w:color="auto" w:fill="EAF4EF"/>
          </w:tcPr>
          <w:p>
            <w:pPr>
              <w:spacing w:before="20" w:after="20" w:line="252" w:lineRule="auto"/>
              <w:jc w:val="left"/>
            </w:pPr>
            <w:r>
              <w:rPr>
                <w:rFonts w:ascii="Aptos" w:hAnsi="Aptos" w:cs="Aptos"/>
                <w:b w:val="0"/>
                <w:i w:val="0"/>
                <w:caps w:val="0"/>
                <w:color w:val="222222"/>
                <w:sz w:val="18"/>
              </w:rPr>
              <w:t>Mindray DP-10 with printer and trolley. Quoted at UGX 11,000,000 by Canon Healthcare Systems Ltd, proforma 1896 of 13 April 2026</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UGX 11M</w:t>
            </w:r>
          </w:p>
        </w:tc>
      </w:tr>
      <w:tr>
        <w:trPr>
          <w:cantSplit/>
        </w:trPr>
        <w:tc>
          <w:tcPr>
            <w:tcW w:type="dxa" w:w="2500"/>
            <w:shd w:val="clear" w:color="auto" w:fill="FFFFFF"/>
          </w:tcPr>
          <w:p>
            <w:pPr>
              <w:spacing w:before="20" w:after="20" w:line="252" w:lineRule="auto"/>
              <w:jc w:val="left"/>
            </w:pPr>
            <w:r>
              <w:rPr>
                <w:rFonts w:ascii="Aptos" w:hAnsi="Aptos" w:cs="Aptos"/>
                <w:b w:val="0"/>
                <w:i w:val="0"/>
                <w:caps w:val="0"/>
                <w:color w:val="222222"/>
                <w:sz w:val="18"/>
              </w:rPr>
              <w:t>Staffing and launch</w:t>
            </w:r>
          </w:p>
        </w:tc>
        <w:tc>
          <w:tcPr>
            <w:tcW w:type="dxa" w:w="5324"/>
            <w:shd w:val="clear" w:color="auto" w:fill="FFFFFF"/>
          </w:tcPr>
          <w:p>
            <w:pPr>
              <w:spacing w:before="20" w:after="20" w:line="252" w:lineRule="auto"/>
              <w:jc w:val="left"/>
            </w:pPr>
            <w:r>
              <w:rPr>
                <w:rFonts w:ascii="Aptos" w:hAnsi="Aptos" w:cs="Aptos"/>
                <w:b w:val="0"/>
                <w:i w:val="0"/>
                <w:caps w:val="0"/>
                <w:color w:val="222222"/>
                <w:sz w:val="18"/>
              </w:rPr>
              <w:t>Recruitment and first-quarter cost of UNMC-registered midwives and ward nursing cover, orientation, licence variation and inspection</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UGX 10–14M</w:t>
            </w:r>
          </w:p>
        </w:tc>
      </w:tr>
      <w:tr>
        <w:trPr>
          <w:cantSplit/>
        </w:trPr>
        <w:tc>
          <w:tcPr>
            <w:tcW w:type="dxa" w:w="2500"/>
            <w:shd w:val="clear" w:color="auto" w:fill="EAF4EF"/>
          </w:tcPr>
          <w:p>
            <w:pPr>
              <w:spacing w:before="20" w:after="20" w:line="252" w:lineRule="auto"/>
              <w:jc w:val="left"/>
            </w:pPr>
            <w:r>
              <w:rPr>
                <w:rFonts w:ascii="Aptos" w:hAnsi="Aptos" w:cs="Aptos"/>
                <w:b w:val="0"/>
                <w:i w:val="0"/>
                <w:caps w:val="0"/>
                <w:color w:val="222222"/>
                <w:sz w:val="18"/>
              </w:rPr>
              <w:t>Opening working capital</w:t>
            </w:r>
          </w:p>
        </w:tc>
        <w:tc>
          <w:tcPr>
            <w:tcW w:type="dxa" w:w="5324"/>
            <w:shd w:val="clear" w:color="auto" w:fill="EAF4EF"/>
          </w:tcPr>
          <w:p>
            <w:pPr>
              <w:spacing w:before="20" w:after="20" w:line="252" w:lineRule="auto"/>
              <w:jc w:val="left"/>
            </w:pPr>
            <w:r>
              <w:rPr>
                <w:rFonts w:ascii="Aptos" w:hAnsi="Aptos" w:cs="Aptos"/>
                <w:b w:val="0"/>
                <w:i w:val="0"/>
                <w:caps w:val="0"/>
                <w:color w:val="222222"/>
                <w:sz w:val="18"/>
              </w:rPr>
              <w:t>Oxytocin and essential obstetric medicines, sutures, gloves, cord clamps, linen, laundry and utilities for the first three months</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UGX 6–9M</w:t>
            </w:r>
          </w:p>
        </w:tc>
      </w:tr>
      <w:tr>
        <w:trPr>
          <w:cantSplit/>
        </w:trPr>
        <w:tc>
          <w:tcPr>
            <w:tcW w:type="dxa" w:w="2500"/>
            <w:shd w:val="clear" w:color="auto" w:fill="DDEBE4"/>
          </w:tcPr>
          <w:p>
            <w:pPr>
              <w:spacing w:before="20" w:after="20" w:line="252" w:lineRule="auto"/>
              <w:jc w:val="left"/>
            </w:pPr>
            <w:r>
              <w:rPr>
                <w:rFonts w:ascii="Aptos" w:hAnsi="Aptos" w:cs="Aptos"/>
                <w:b/>
                <w:i w:val="0"/>
                <w:caps w:val="0"/>
                <w:color w:val="222222"/>
                <w:sz w:val="18"/>
              </w:rPr>
              <w:t>Phase one total</w:t>
            </w:r>
          </w:p>
        </w:tc>
        <w:tc>
          <w:tcPr>
            <w:tcW w:type="dxa" w:w="5324"/>
            <w:shd w:val="clear" w:color="auto" w:fill="DDEBE4"/>
          </w:tcPr>
          <w:p>
            <w:pPr>
              <w:spacing w:before="20" w:after="20" w:line="252" w:lineRule="auto"/>
              <w:jc w:val="left"/>
            </w:pPr>
            <w:r>
              <w:rPr>
                <w:rFonts w:ascii="Aptos" w:hAnsi="Aptos" w:cs="Aptos"/>
                <w:b/>
                <w:i w:val="0"/>
                <w:caps w:val="0"/>
                <w:color w:val="222222"/>
                <w:sz w:val="18"/>
              </w:rPr>
            </w:r>
          </w:p>
        </w:tc>
        <w:tc>
          <w:tcPr>
            <w:tcW w:type="dxa" w:w="2400"/>
            <w:shd w:val="clear" w:color="auto" w:fill="DDEBE4"/>
          </w:tcPr>
          <w:p>
            <w:pPr>
              <w:spacing w:before="20" w:after="20" w:line="252" w:lineRule="auto"/>
              <w:jc w:val="right"/>
            </w:pPr>
            <w:r>
              <w:rPr>
                <w:rFonts w:ascii="Aptos" w:hAnsi="Aptos" w:cs="Aptos"/>
                <w:b/>
                <w:i w:val="0"/>
                <w:caps w:val="0"/>
                <w:color w:val="222222"/>
                <w:sz w:val="18"/>
              </w:rPr>
              <w:t>UGX 77–100M</w:t>
            </w:r>
          </w:p>
        </w:tc>
      </w:tr>
    </w:tbl>
    <w:p>
      <w:pPr>
        <w:keepNext/>
        <w:spacing w:before="240" w:after="60" w:line="276" w:lineRule="auto"/>
      </w:pPr>
      <w:r>
        <w:rPr>
          <w:rFonts w:ascii="Aptos" w:hAnsi="Aptos" w:cs="Aptos"/>
          <w:b/>
          <w:i w:val="0"/>
          <w:caps w:val="0"/>
          <w:color w:val="165A43"/>
          <w:sz w:val="19"/>
        </w:rPr>
        <w:t>PHASE TWO  —  OBSTETRIC THEATRE AND NEONATAL CARE</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2500"/>
        <w:gridCol w:w="5324"/>
        <w:gridCol w:w="2400"/>
      </w:tblGrid>
      <w:tr>
        <w:trPr>
          <w:cantSplit/>
          <w:tblHeader/>
        </w:trPr>
        <w:tc>
          <w:tcPr>
            <w:tcW w:type="dxa" w:w="2500"/>
            <w:shd w:val="clear" w:color="auto" w:fill="165A43"/>
          </w:tcPr>
          <w:p>
            <w:pPr>
              <w:spacing w:before="20" w:after="20" w:line="252" w:lineRule="auto"/>
              <w:jc w:val="left"/>
            </w:pPr>
            <w:r>
              <w:rPr>
                <w:rFonts w:ascii="Aptos" w:hAnsi="Aptos" w:cs="Aptos"/>
                <w:b/>
                <w:i w:val="0"/>
                <w:caps w:val="0"/>
                <w:color w:val="FFFFFF"/>
                <w:sz w:val="17"/>
              </w:rPr>
              <w:t>ITEM</w:t>
            </w:r>
          </w:p>
        </w:tc>
        <w:tc>
          <w:tcPr>
            <w:tcW w:type="dxa" w:w="5324"/>
            <w:shd w:val="clear" w:color="auto" w:fill="165A43"/>
          </w:tcPr>
          <w:p>
            <w:pPr>
              <w:spacing w:before="20" w:after="20" w:line="252" w:lineRule="auto"/>
              <w:jc w:val="left"/>
            </w:pPr>
            <w:r>
              <w:rPr>
                <w:rFonts w:ascii="Aptos" w:hAnsi="Aptos" w:cs="Aptos"/>
                <w:b/>
                <w:i w:val="0"/>
                <w:caps w:val="0"/>
                <w:color w:val="FFFFFF"/>
                <w:sz w:val="17"/>
              </w:rPr>
              <w:t>WHAT IT COVERS</w:t>
            </w:r>
          </w:p>
        </w:tc>
        <w:tc>
          <w:tcPr>
            <w:tcW w:type="dxa" w:w="2400"/>
            <w:shd w:val="clear" w:color="auto" w:fill="165A43"/>
          </w:tcPr>
          <w:p>
            <w:pPr>
              <w:spacing w:before="20" w:after="20" w:line="252" w:lineRule="auto"/>
              <w:jc w:val="right"/>
            </w:pPr>
            <w:r>
              <w:rPr>
                <w:rFonts w:ascii="Aptos" w:hAnsi="Aptos" w:cs="Aptos"/>
                <w:b/>
                <w:i w:val="0"/>
                <w:caps w:val="0"/>
                <w:color w:val="FFFFFF"/>
                <w:sz w:val="17"/>
              </w:rPr>
              <w:t>ESTIMATE</w:t>
            </w:r>
          </w:p>
        </w:tc>
      </w:tr>
      <w:tr>
        <w:trPr>
          <w:cantSplit/>
        </w:trPr>
        <w:tc>
          <w:tcPr>
            <w:tcW w:type="dxa" w:w="2500"/>
            <w:shd w:val="clear" w:color="auto" w:fill="EAF4EF"/>
          </w:tcPr>
          <w:p>
            <w:pPr>
              <w:spacing w:before="20" w:after="20" w:line="252" w:lineRule="auto"/>
              <w:jc w:val="left"/>
            </w:pPr>
            <w:r>
              <w:rPr>
                <w:rFonts w:ascii="Aptos" w:hAnsi="Aptos" w:cs="Aptos"/>
                <w:b w:val="0"/>
                <w:i w:val="0"/>
                <w:caps w:val="0"/>
                <w:color w:val="222222"/>
                <w:sz w:val="18"/>
              </w:rPr>
              <w:t>Theatre construction and services</w:t>
            </w:r>
          </w:p>
        </w:tc>
        <w:tc>
          <w:tcPr>
            <w:tcW w:type="dxa" w:w="5324"/>
            <w:shd w:val="clear" w:color="auto" w:fill="EAF4EF"/>
          </w:tcPr>
          <w:p>
            <w:pPr>
              <w:spacing w:before="20" w:after="20" w:line="252" w:lineRule="auto"/>
              <w:jc w:val="left"/>
            </w:pPr>
            <w:r>
              <w:rPr>
                <w:rFonts w:ascii="Aptos" w:hAnsi="Aptos" w:cs="Aptos"/>
                <w:b w:val="0"/>
                <w:i w:val="0"/>
                <w:caps w:val="0"/>
                <w:color w:val="222222"/>
                <w:sz w:val="18"/>
              </w:rPr>
              <w:t>Theatre, scrub area, sterile store and sluice; sealed walls and flooring; ventilation; theatre lighting; dedicated power with UPS and generator backup</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UGX 30–45M</w:t>
            </w:r>
          </w:p>
        </w:tc>
      </w:tr>
      <w:tr>
        <w:trPr>
          <w:cantSplit/>
        </w:trPr>
        <w:tc>
          <w:tcPr>
            <w:tcW w:type="dxa" w:w="2500"/>
            <w:shd w:val="clear" w:color="auto" w:fill="FFFFFF"/>
          </w:tcPr>
          <w:p>
            <w:pPr>
              <w:spacing w:before="20" w:after="20" w:line="252" w:lineRule="auto"/>
              <w:jc w:val="left"/>
            </w:pPr>
            <w:r>
              <w:rPr>
                <w:rFonts w:ascii="Aptos" w:hAnsi="Aptos" w:cs="Aptos"/>
                <w:b w:val="0"/>
                <w:i w:val="0"/>
                <w:caps w:val="0"/>
                <w:color w:val="222222"/>
                <w:sz w:val="18"/>
              </w:rPr>
              <w:t>Anaesthesia and surgical equipment</w:t>
            </w:r>
          </w:p>
        </w:tc>
        <w:tc>
          <w:tcPr>
            <w:tcW w:type="dxa" w:w="5324"/>
            <w:shd w:val="clear" w:color="auto" w:fill="FFFFFF"/>
          </w:tcPr>
          <w:p>
            <w:pPr>
              <w:spacing w:before="20" w:after="20" w:line="252" w:lineRule="auto"/>
              <w:jc w:val="left"/>
            </w:pPr>
            <w:r>
              <w:rPr>
                <w:rFonts w:ascii="Aptos" w:hAnsi="Aptos" w:cs="Aptos"/>
                <w:b w:val="0"/>
                <w:i w:val="0"/>
                <w:caps w:val="0"/>
                <w:color w:val="222222"/>
                <w:sz w:val="18"/>
              </w:rPr>
              <w:t>Anaesthetic machine with ventilator, operating table, theatre lights, diathermy unit, theatre and recovery monitors, theatre suction</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UGX 45–60M</w:t>
            </w:r>
          </w:p>
        </w:tc>
      </w:tr>
      <w:tr>
        <w:trPr>
          <w:cantSplit/>
        </w:trPr>
        <w:tc>
          <w:tcPr>
            <w:tcW w:type="dxa" w:w="2500"/>
            <w:shd w:val="clear" w:color="auto" w:fill="EAF4EF"/>
          </w:tcPr>
          <w:p>
            <w:pPr>
              <w:spacing w:before="20" w:after="20" w:line="252" w:lineRule="auto"/>
              <w:jc w:val="left"/>
            </w:pPr>
            <w:r>
              <w:rPr>
                <w:rFonts w:ascii="Aptos" w:hAnsi="Aptos" w:cs="Aptos"/>
                <w:b w:val="0"/>
                <w:i w:val="0"/>
                <w:caps w:val="0"/>
                <w:color w:val="222222"/>
                <w:sz w:val="18"/>
              </w:rPr>
              <w:t>Instruments and sterilisation</w:t>
            </w:r>
          </w:p>
        </w:tc>
        <w:tc>
          <w:tcPr>
            <w:tcW w:type="dxa" w:w="5324"/>
            <w:shd w:val="clear" w:color="auto" w:fill="EAF4EF"/>
          </w:tcPr>
          <w:p>
            <w:pPr>
              <w:spacing w:before="20" w:after="20" w:line="252" w:lineRule="auto"/>
              <w:jc w:val="left"/>
            </w:pPr>
            <w:r>
              <w:rPr>
                <w:rFonts w:ascii="Aptos" w:hAnsi="Aptos" w:cs="Aptos"/>
                <w:b w:val="0"/>
                <w:i w:val="0"/>
                <w:caps w:val="0"/>
                <w:color w:val="222222"/>
                <w:sz w:val="18"/>
              </w:rPr>
              <w:t>Caesarean and gynaecological instrument sets, autoclave, instrument trolleys and sterile storage</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UGX 14–20M</w:t>
            </w:r>
          </w:p>
        </w:tc>
      </w:tr>
      <w:tr>
        <w:trPr>
          <w:cantSplit/>
        </w:trPr>
        <w:tc>
          <w:tcPr>
            <w:tcW w:type="dxa" w:w="2500"/>
            <w:shd w:val="clear" w:color="auto" w:fill="FFFFFF"/>
          </w:tcPr>
          <w:p>
            <w:pPr>
              <w:spacing w:before="20" w:after="20" w:line="252" w:lineRule="auto"/>
              <w:jc w:val="left"/>
            </w:pPr>
            <w:r>
              <w:rPr>
                <w:rFonts w:ascii="Aptos" w:hAnsi="Aptos" w:cs="Aptos"/>
                <w:b w:val="0"/>
                <w:i w:val="0"/>
                <w:caps w:val="0"/>
                <w:color w:val="222222"/>
                <w:sz w:val="18"/>
              </w:rPr>
              <w:t>Neonatal capacity</w:t>
            </w:r>
          </w:p>
        </w:tc>
        <w:tc>
          <w:tcPr>
            <w:tcW w:type="dxa" w:w="5324"/>
            <w:shd w:val="clear" w:color="auto" w:fill="FFFFFF"/>
          </w:tcPr>
          <w:p>
            <w:pPr>
              <w:spacing w:before="20" w:after="20" w:line="252" w:lineRule="auto"/>
              <w:jc w:val="left"/>
            </w:pPr>
            <w:r>
              <w:rPr>
                <w:rFonts w:ascii="Aptos" w:hAnsi="Aptos" w:cs="Aptos"/>
                <w:b w:val="0"/>
                <w:i w:val="0"/>
                <w:caps w:val="0"/>
                <w:color w:val="222222"/>
                <w:sz w:val="18"/>
              </w:rPr>
              <w:t>Incubator, phototherapy unit and neonatal resuscitation equipment</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UGX 12–18M</w:t>
            </w:r>
          </w:p>
        </w:tc>
      </w:tr>
      <w:tr>
        <w:trPr>
          <w:cantSplit/>
        </w:trPr>
        <w:tc>
          <w:tcPr>
            <w:tcW w:type="dxa" w:w="2500"/>
            <w:shd w:val="clear" w:color="auto" w:fill="EAF4EF"/>
          </w:tcPr>
          <w:p>
            <w:pPr>
              <w:spacing w:before="20" w:after="20" w:line="252" w:lineRule="auto"/>
              <w:jc w:val="left"/>
            </w:pPr>
            <w:r>
              <w:rPr>
                <w:rFonts w:ascii="Aptos" w:hAnsi="Aptos" w:cs="Aptos"/>
                <w:b w:val="0"/>
                <w:i w:val="0"/>
                <w:caps w:val="0"/>
                <w:color w:val="222222"/>
                <w:sz w:val="18"/>
              </w:rPr>
              <w:t>Theatre staffing and commissioning</w:t>
            </w:r>
          </w:p>
        </w:tc>
        <w:tc>
          <w:tcPr>
            <w:tcW w:type="dxa" w:w="5324"/>
            <w:shd w:val="clear" w:color="auto" w:fill="EAF4EF"/>
          </w:tcPr>
          <w:p>
            <w:pPr>
              <w:spacing w:before="20" w:after="20" w:line="252" w:lineRule="auto"/>
              <w:jc w:val="left"/>
            </w:pPr>
            <w:r>
              <w:rPr>
                <w:rFonts w:ascii="Aptos" w:hAnsi="Aptos" w:cs="Aptos"/>
                <w:b w:val="0"/>
                <w:i w:val="0"/>
                <w:caps w:val="0"/>
                <w:color w:val="222222"/>
                <w:sz w:val="18"/>
              </w:rPr>
              <w:t>Obstetric and anaesthetic cover, theatre nurse, commissioning, clinical protocols, blood-supply arrangement and licensing for surgical services</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UGX 14–22M</w:t>
            </w:r>
          </w:p>
        </w:tc>
      </w:tr>
      <w:tr>
        <w:trPr>
          <w:cantSplit/>
        </w:trPr>
        <w:tc>
          <w:tcPr>
            <w:tcW w:type="dxa" w:w="2500"/>
            <w:shd w:val="clear" w:color="auto" w:fill="DDEBE4"/>
          </w:tcPr>
          <w:p>
            <w:pPr>
              <w:spacing w:before="20" w:after="20" w:line="252" w:lineRule="auto"/>
              <w:jc w:val="left"/>
            </w:pPr>
            <w:r>
              <w:rPr>
                <w:rFonts w:ascii="Aptos" w:hAnsi="Aptos" w:cs="Aptos"/>
                <w:b/>
                <w:i w:val="0"/>
                <w:caps w:val="0"/>
                <w:color w:val="222222"/>
                <w:sz w:val="18"/>
              </w:rPr>
              <w:t>Phase two total</w:t>
            </w:r>
          </w:p>
        </w:tc>
        <w:tc>
          <w:tcPr>
            <w:tcW w:type="dxa" w:w="5324"/>
            <w:shd w:val="clear" w:color="auto" w:fill="DDEBE4"/>
          </w:tcPr>
          <w:p>
            <w:pPr>
              <w:spacing w:before="20" w:after="20" w:line="252" w:lineRule="auto"/>
              <w:jc w:val="left"/>
            </w:pPr>
            <w:r>
              <w:rPr>
                <w:rFonts w:ascii="Aptos" w:hAnsi="Aptos" w:cs="Aptos"/>
                <w:b/>
                <w:i w:val="0"/>
                <w:caps w:val="0"/>
                <w:color w:val="222222"/>
                <w:sz w:val="18"/>
              </w:rPr>
            </w:r>
          </w:p>
        </w:tc>
        <w:tc>
          <w:tcPr>
            <w:tcW w:type="dxa" w:w="2400"/>
            <w:shd w:val="clear" w:color="auto" w:fill="DDEBE4"/>
          </w:tcPr>
          <w:p>
            <w:pPr>
              <w:spacing w:before="20" w:after="20" w:line="252" w:lineRule="auto"/>
              <w:jc w:val="right"/>
            </w:pPr>
            <w:r>
              <w:rPr>
                <w:rFonts w:ascii="Aptos" w:hAnsi="Aptos" w:cs="Aptos"/>
                <w:b/>
                <w:i w:val="0"/>
                <w:caps w:val="0"/>
                <w:color w:val="222222"/>
                <w:sz w:val="18"/>
              </w:rPr>
              <w:t>UGX 115–165M</w:t>
            </w:r>
          </w:p>
        </w:tc>
      </w:tr>
    </w:tbl>
    <w:p>
      <w:pPr>
        <w:spacing w:before="0" w:after="120" w:line="276" w:lineRule="auto"/>
      </w:pPr>
      <w:r>
        <w:rPr>
          <w:rFonts w:ascii="Aptos" w:hAnsi="Aptos" w:cs="Aptos"/>
          <w:b w:val="0"/>
          <w:i w:val="0"/>
          <w:caps w:val="0"/>
          <w:color w:val="222222"/>
          <w:sz w:val="21"/>
        </w:rPr>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10224"/>
      </w:tblGrid>
      <w:tr>
        <w:tc>
          <w:tcPr>
            <w:tcW w:type="dxa" w:w="10224"/>
            <w:shd w:val="clear" w:color="auto" w:fill="DDEBE4"/>
          </w:tcPr>
          <w:p>
            <w:pPr>
              <w:spacing w:after="40" w:line="264" w:lineRule="auto"/>
            </w:pPr>
            <w:r>
              <w:rPr>
                <w:rFonts w:ascii="Aptos" w:hAnsi="Aptos" w:cs="Aptos"/>
                <w:b/>
                <w:i w:val="0"/>
                <w:caps/>
                <w:color w:val="165A43"/>
                <w:sz w:val="18"/>
              </w:rPr>
              <w:t>Complete programme</w:t>
            </w:r>
          </w:p>
          <w:p>
            <w:pPr>
              <w:spacing w:before="0" w:after="20" w:line="276" w:lineRule="auto"/>
            </w:pPr>
            <w:r>
              <w:rPr>
                <w:rFonts w:ascii="Aptos" w:hAnsi="Aptos" w:cs="Aptos"/>
                <w:b w:val="0"/>
                <w:i w:val="0"/>
                <w:caps w:val="0"/>
                <w:color w:val="222222"/>
                <w:sz w:val="19"/>
              </w:rPr>
              <w:t>UGX 190–265M. Every figure above except the scanner is our own estimate, prepared before going to suppliers. They are ranges because that is honestly what we know today. No funds should be released against an estimate: each line will be quoted and returned to you as a signed one-page budget first.</w:t>
            </w:r>
          </w:p>
        </w:tc>
      </w:tr>
    </w:tbl>
    <w:p>
      <w:pPr>
        <w:keepNext/>
        <w:spacing w:before="280" w:after="120" w:line="276" w:lineRule="auto"/>
        <w:pBdr>
          <w:top w:val="single" w:sz="6" w:space="4" w:color="165A43"/>
        </w:pBdr>
      </w:pPr>
      <w:r>
        <w:rPr>
          <w:rFonts w:ascii="Aptos Display" w:hAnsi="Aptos Display" w:cs="Aptos Display"/>
          <w:b/>
          <w:i w:val="0"/>
          <w:caps w:val="0"/>
          <w:color w:val="165A43"/>
          <w:sz w:val="24"/>
        </w:rPr>
        <w:t>3.  What the unit should earn</w:t>
      </w:r>
    </w:p>
    <w:p>
      <w:pPr>
        <w:spacing w:before="0" w:after="160" w:line="276" w:lineRule="auto"/>
        <w:jc w:val="both"/>
      </w:pPr>
      <w:r>
        <w:rPr>
          <w:rFonts w:ascii="Aptos" w:hAnsi="Aptos" w:cs="Aptos"/>
          <w:b w:val="0"/>
          <w:i w:val="0"/>
          <w:caps w:val="0"/>
          <w:color w:val="222222"/>
          <w:sz w:val="21"/>
        </w:rPr>
        <w:t>The figures below are FairBanks' planning assumptions, not results. They are set out in full so you can argue with them, which is the point of showing the arithmetic rather than the conclusion.</w:t>
      </w:r>
    </w:p>
    <w:p>
      <w:pPr>
        <w:keepNext/>
        <w:spacing w:before="80" w:after="60" w:line="276" w:lineRule="auto"/>
      </w:pPr>
      <w:r>
        <w:rPr>
          <w:rFonts w:ascii="Aptos" w:hAnsi="Aptos" w:cs="Aptos"/>
          <w:b/>
          <w:i w:val="0"/>
          <w:caps w:val="0"/>
          <w:color w:val="165A43"/>
          <w:sz w:val="19"/>
        </w:rPr>
        <w:t>PHASE ONE AT STEADY UTILISATION</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3624"/>
        <w:gridCol w:w="2000"/>
        <w:gridCol w:w="2200"/>
        <w:gridCol w:w="2400"/>
      </w:tblGrid>
      <w:tr>
        <w:trPr>
          <w:cantSplit/>
          <w:tblHeader/>
        </w:trPr>
        <w:tc>
          <w:tcPr>
            <w:tcW w:type="dxa" w:w="3624"/>
            <w:shd w:val="clear" w:color="auto" w:fill="165A43"/>
          </w:tcPr>
          <w:p>
            <w:pPr>
              <w:spacing w:before="20" w:after="20" w:line="252" w:lineRule="auto"/>
              <w:jc w:val="left"/>
            </w:pPr>
            <w:r>
              <w:rPr>
                <w:rFonts w:ascii="Aptos" w:hAnsi="Aptos" w:cs="Aptos"/>
                <w:b/>
                <w:i w:val="0"/>
                <w:caps w:val="0"/>
                <w:color w:val="FFFFFF"/>
                <w:sz w:val="17"/>
              </w:rPr>
              <w:t>SERVICE</w:t>
            </w:r>
          </w:p>
        </w:tc>
        <w:tc>
          <w:tcPr>
            <w:tcW w:type="dxa" w:w="2000"/>
            <w:shd w:val="clear" w:color="auto" w:fill="165A43"/>
          </w:tcPr>
          <w:p>
            <w:pPr>
              <w:spacing w:before="20" w:after="20" w:line="252" w:lineRule="auto"/>
              <w:jc w:val="right"/>
            </w:pPr>
            <w:r>
              <w:rPr>
                <w:rFonts w:ascii="Aptos" w:hAnsi="Aptos" w:cs="Aptos"/>
                <w:b/>
                <w:i w:val="0"/>
                <w:caps w:val="0"/>
                <w:color w:val="FFFFFF"/>
                <w:sz w:val="17"/>
              </w:rPr>
              <w:t>PER MONTH</w:t>
            </w:r>
          </w:p>
        </w:tc>
        <w:tc>
          <w:tcPr>
            <w:tcW w:type="dxa" w:w="2200"/>
            <w:shd w:val="clear" w:color="auto" w:fill="165A43"/>
          </w:tcPr>
          <w:p>
            <w:pPr>
              <w:spacing w:before="20" w:after="20" w:line="252" w:lineRule="auto"/>
              <w:jc w:val="right"/>
            </w:pPr>
            <w:r>
              <w:rPr>
                <w:rFonts w:ascii="Aptos" w:hAnsi="Aptos" w:cs="Aptos"/>
                <w:b/>
                <w:i w:val="0"/>
                <w:caps w:val="0"/>
                <w:color w:val="FFFFFF"/>
                <w:sz w:val="17"/>
              </w:rPr>
              <w:t>PRICE (UGX)</w:t>
            </w:r>
          </w:p>
        </w:tc>
        <w:tc>
          <w:tcPr>
            <w:tcW w:type="dxa" w:w="2400"/>
            <w:shd w:val="clear" w:color="auto" w:fill="165A43"/>
          </w:tcPr>
          <w:p>
            <w:pPr>
              <w:spacing w:before="20" w:after="20" w:line="252" w:lineRule="auto"/>
              <w:jc w:val="right"/>
            </w:pPr>
            <w:r>
              <w:rPr>
                <w:rFonts w:ascii="Aptos" w:hAnsi="Aptos" w:cs="Aptos"/>
                <w:b/>
                <w:i w:val="0"/>
                <w:caps w:val="0"/>
                <w:color w:val="FFFFFF"/>
                <w:sz w:val="17"/>
              </w:rPr>
              <w:t>REVENUE (UGX)</w:t>
            </w:r>
          </w:p>
        </w:tc>
      </w:tr>
      <w:tr>
        <w:trPr>
          <w:cantSplit/>
        </w:trPr>
        <w:tc>
          <w:tcPr>
            <w:tcW w:type="dxa" w:w="3624"/>
            <w:shd w:val="clear" w:color="auto" w:fill="EAF4EF"/>
          </w:tcPr>
          <w:p>
            <w:pPr>
              <w:spacing w:before="20" w:after="20" w:line="252" w:lineRule="auto"/>
              <w:jc w:val="left"/>
            </w:pPr>
            <w:r>
              <w:rPr>
                <w:rFonts w:ascii="Aptos" w:hAnsi="Aptos" w:cs="Aptos"/>
                <w:b w:val="0"/>
                <w:i w:val="0"/>
                <w:caps w:val="0"/>
                <w:color w:val="222222"/>
                <w:sz w:val="18"/>
              </w:rPr>
              <w:t>Antenatal visits</w:t>
            </w:r>
          </w:p>
        </w:tc>
        <w:tc>
          <w:tcPr>
            <w:tcW w:type="dxa" w:w="2000"/>
            <w:shd w:val="clear" w:color="auto" w:fill="EAF4EF"/>
          </w:tcPr>
          <w:p>
            <w:pPr>
              <w:spacing w:before="20" w:after="20" w:line="252" w:lineRule="auto"/>
              <w:jc w:val="right"/>
            </w:pPr>
            <w:r>
              <w:rPr>
                <w:rFonts w:ascii="Aptos" w:hAnsi="Aptos" w:cs="Aptos"/>
                <w:b w:val="0"/>
                <w:i w:val="0"/>
                <w:caps w:val="0"/>
                <w:color w:val="222222"/>
                <w:sz w:val="18"/>
              </w:rPr>
              <w:t>100</w:t>
            </w:r>
          </w:p>
        </w:tc>
        <w:tc>
          <w:tcPr>
            <w:tcW w:type="dxa" w:w="2200"/>
            <w:shd w:val="clear" w:color="auto" w:fill="EAF4EF"/>
          </w:tcPr>
          <w:p>
            <w:pPr>
              <w:spacing w:before="20" w:after="20" w:line="252" w:lineRule="auto"/>
              <w:jc w:val="right"/>
            </w:pPr>
            <w:r>
              <w:rPr>
                <w:rFonts w:ascii="Aptos" w:hAnsi="Aptos" w:cs="Aptos"/>
                <w:b w:val="0"/>
                <w:i w:val="0"/>
                <w:caps w:val="0"/>
                <w:color w:val="222222"/>
                <w:sz w:val="18"/>
              </w:rPr>
              <w:t>25,000</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2,500,000</w:t>
            </w:r>
          </w:p>
        </w:tc>
      </w:tr>
      <w:tr>
        <w:trPr>
          <w:cantSplit/>
        </w:trPr>
        <w:tc>
          <w:tcPr>
            <w:tcW w:type="dxa" w:w="3624"/>
            <w:shd w:val="clear" w:color="auto" w:fill="FFFFFF"/>
          </w:tcPr>
          <w:p>
            <w:pPr>
              <w:spacing w:before="20" w:after="20" w:line="252" w:lineRule="auto"/>
              <w:jc w:val="left"/>
            </w:pPr>
            <w:r>
              <w:rPr>
                <w:rFonts w:ascii="Aptos" w:hAnsi="Aptos" w:cs="Aptos"/>
                <w:b w:val="0"/>
                <w:i w:val="0"/>
                <w:caps w:val="0"/>
                <w:color w:val="222222"/>
                <w:sz w:val="18"/>
              </w:rPr>
              <w:t>Normal deliveries</w:t>
            </w:r>
          </w:p>
        </w:tc>
        <w:tc>
          <w:tcPr>
            <w:tcW w:type="dxa" w:w="2000"/>
            <w:shd w:val="clear" w:color="auto" w:fill="FFFFFF"/>
          </w:tcPr>
          <w:p>
            <w:pPr>
              <w:spacing w:before="20" w:after="20" w:line="252" w:lineRule="auto"/>
              <w:jc w:val="right"/>
            </w:pPr>
            <w:r>
              <w:rPr>
                <w:rFonts w:ascii="Aptos" w:hAnsi="Aptos" w:cs="Aptos"/>
                <w:b w:val="0"/>
                <w:i w:val="0"/>
                <w:caps w:val="0"/>
                <w:color w:val="222222"/>
                <w:sz w:val="18"/>
              </w:rPr>
              <w:t>18</w:t>
            </w:r>
          </w:p>
        </w:tc>
        <w:tc>
          <w:tcPr>
            <w:tcW w:type="dxa" w:w="2200"/>
            <w:shd w:val="clear" w:color="auto" w:fill="FFFFFF"/>
          </w:tcPr>
          <w:p>
            <w:pPr>
              <w:spacing w:before="20" w:after="20" w:line="252" w:lineRule="auto"/>
              <w:jc w:val="right"/>
            </w:pPr>
            <w:r>
              <w:rPr>
                <w:rFonts w:ascii="Aptos" w:hAnsi="Aptos" w:cs="Aptos"/>
                <w:b w:val="0"/>
                <w:i w:val="0"/>
                <w:caps w:val="0"/>
                <w:color w:val="222222"/>
                <w:sz w:val="18"/>
              </w:rPr>
              <w:t>450,000</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8,100,000</w:t>
            </w:r>
          </w:p>
        </w:tc>
      </w:tr>
      <w:tr>
        <w:trPr>
          <w:cantSplit/>
        </w:trPr>
        <w:tc>
          <w:tcPr>
            <w:tcW w:type="dxa" w:w="3624"/>
            <w:shd w:val="clear" w:color="auto" w:fill="EAF4EF"/>
          </w:tcPr>
          <w:p>
            <w:pPr>
              <w:spacing w:before="20" w:after="20" w:line="252" w:lineRule="auto"/>
              <w:jc w:val="left"/>
            </w:pPr>
            <w:r>
              <w:rPr>
                <w:rFonts w:ascii="Aptos" w:hAnsi="Aptos" w:cs="Aptos"/>
                <w:b w:val="0"/>
                <w:i w:val="0"/>
                <w:caps w:val="0"/>
                <w:color w:val="222222"/>
                <w:sz w:val="18"/>
              </w:rPr>
              <w:t>Obstetric ultrasound scans</w:t>
            </w:r>
          </w:p>
        </w:tc>
        <w:tc>
          <w:tcPr>
            <w:tcW w:type="dxa" w:w="2000"/>
            <w:shd w:val="clear" w:color="auto" w:fill="EAF4EF"/>
          </w:tcPr>
          <w:p>
            <w:pPr>
              <w:spacing w:before="20" w:after="20" w:line="252" w:lineRule="auto"/>
              <w:jc w:val="right"/>
            </w:pPr>
            <w:r>
              <w:rPr>
                <w:rFonts w:ascii="Aptos" w:hAnsi="Aptos" w:cs="Aptos"/>
                <w:b w:val="0"/>
                <w:i w:val="0"/>
                <w:caps w:val="0"/>
                <w:color w:val="222222"/>
                <w:sz w:val="18"/>
              </w:rPr>
              <w:t>70</w:t>
            </w:r>
          </w:p>
        </w:tc>
        <w:tc>
          <w:tcPr>
            <w:tcW w:type="dxa" w:w="2200"/>
            <w:shd w:val="clear" w:color="auto" w:fill="EAF4EF"/>
          </w:tcPr>
          <w:p>
            <w:pPr>
              <w:spacing w:before="20" w:after="20" w:line="252" w:lineRule="auto"/>
              <w:jc w:val="right"/>
            </w:pPr>
            <w:r>
              <w:rPr>
                <w:rFonts w:ascii="Aptos" w:hAnsi="Aptos" w:cs="Aptos"/>
                <w:b w:val="0"/>
                <w:i w:val="0"/>
                <w:caps w:val="0"/>
                <w:color w:val="222222"/>
                <w:sz w:val="18"/>
              </w:rPr>
              <w:t>50,000</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3,500,000</w:t>
            </w:r>
          </w:p>
        </w:tc>
      </w:tr>
      <w:tr>
        <w:trPr>
          <w:cantSplit/>
        </w:trPr>
        <w:tc>
          <w:tcPr>
            <w:tcW w:type="dxa" w:w="3624"/>
            <w:shd w:val="clear" w:color="auto" w:fill="FFFFFF"/>
          </w:tcPr>
          <w:p>
            <w:pPr>
              <w:spacing w:before="20" w:after="20" w:line="252" w:lineRule="auto"/>
              <w:jc w:val="left"/>
            </w:pPr>
            <w:r>
              <w:rPr>
                <w:rFonts w:ascii="Aptos" w:hAnsi="Aptos" w:cs="Aptos"/>
                <w:b w:val="0"/>
                <w:i w:val="0"/>
                <w:caps w:val="0"/>
                <w:color w:val="222222"/>
                <w:sz w:val="18"/>
              </w:rPr>
              <w:t>Inpatient bed-days</w:t>
            </w:r>
          </w:p>
        </w:tc>
        <w:tc>
          <w:tcPr>
            <w:tcW w:type="dxa" w:w="2000"/>
            <w:shd w:val="clear" w:color="auto" w:fill="FFFFFF"/>
          </w:tcPr>
          <w:p>
            <w:pPr>
              <w:spacing w:before="20" w:after="20" w:line="252" w:lineRule="auto"/>
              <w:jc w:val="right"/>
            </w:pPr>
            <w:r>
              <w:rPr>
                <w:rFonts w:ascii="Aptos" w:hAnsi="Aptos" w:cs="Aptos"/>
                <w:b w:val="0"/>
                <w:i w:val="0"/>
                <w:caps w:val="0"/>
                <w:color w:val="222222"/>
                <w:sz w:val="18"/>
              </w:rPr>
              <w:t>70</w:t>
            </w:r>
          </w:p>
        </w:tc>
        <w:tc>
          <w:tcPr>
            <w:tcW w:type="dxa" w:w="2200"/>
            <w:shd w:val="clear" w:color="auto" w:fill="FFFFFF"/>
          </w:tcPr>
          <w:p>
            <w:pPr>
              <w:spacing w:before="20" w:after="20" w:line="252" w:lineRule="auto"/>
              <w:jc w:val="right"/>
            </w:pPr>
            <w:r>
              <w:rPr>
                <w:rFonts w:ascii="Aptos" w:hAnsi="Aptos" w:cs="Aptos"/>
                <w:b w:val="0"/>
                <w:i w:val="0"/>
                <w:caps w:val="0"/>
                <w:color w:val="222222"/>
                <w:sz w:val="18"/>
              </w:rPr>
              <w:t>70,000</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4,900,000</w:t>
            </w:r>
          </w:p>
        </w:tc>
      </w:tr>
      <w:tr>
        <w:trPr>
          <w:cantSplit/>
        </w:trPr>
        <w:tc>
          <w:tcPr>
            <w:tcW w:type="dxa" w:w="3624"/>
            <w:shd w:val="clear" w:color="auto" w:fill="DDEBE4"/>
          </w:tcPr>
          <w:p>
            <w:pPr>
              <w:spacing w:before="20" w:after="20" w:line="252" w:lineRule="auto"/>
              <w:jc w:val="left"/>
            </w:pPr>
            <w:r>
              <w:rPr>
                <w:rFonts w:ascii="Aptos" w:hAnsi="Aptos" w:cs="Aptos"/>
                <w:b/>
                <w:i w:val="0"/>
                <w:caps w:val="0"/>
                <w:color w:val="222222"/>
                <w:sz w:val="18"/>
              </w:rPr>
              <w:t>Monthly revenue</w:t>
            </w:r>
          </w:p>
        </w:tc>
        <w:tc>
          <w:tcPr>
            <w:tcW w:type="dxa" w:w="2000"/>
            <w:shd w:val="clear" w:color="auto" w:fill="DDEBE4"/>
          </w:tcPr>
          <w:p>
            <w:pPr>
              <w:spacing w:before="20" w:after="20" w:line="252" w:lineRule="auto"/>
              <w:jc w:val="right"/>
            </w:pPr>
            <w:r>
              <w:rPr>
                <w:rFonts w:ascii="Aptos" w:hAnsi="Aptos" w:cs="Aptos"/>
                <w:b/>
                <w:i w:val="0"/>
                <w:caps w:val="0"/>
                <w:color w:val="222222"/>
                <w:sz w:val="18"/>
              </w:rPr>
            </w:r>
          </w:p>
        </w:tc>
        <w:tc>
          <w:tcPr>
            <w:tcW w:type="dxa" w:w="2200"/>
            <w:shd w:val="clear" w:color="auto" w:fill="DDEBE4"/>
          </w:tcPr>
          <w:p>
            <w:pPr>
              <w:spacing w:before="20" w:after="20" w:line="252" w:lineRule="auto"/>
              <w:jc w:val="right"/>
            </w:pPr>
            <w:r>
              <w:rPr>
                <w:rFonts w:ascii="Aptos" w:hAnsi="Aptos" w:cs="Aptos"/>
                <w:b/>
                <w:i w:val="0"/>
                <w:caps w:val="0"/>
                <w:color w:val="222222"/>
                <w:sz w:val="18"/>
              </w:rPr>
            </w:r>
          </w:p>
        </w:tc>
        <w:tc>
          <w:tcPr>
            <w:tcW w:type="dxa" w:w="2400"/>
            <w:shd w:val="clear" w:color="auto" w:fill="DDEBE4"/>
          </w:tcPr>
          <w:p>
            <w:pPr>
              <w:spacing w:before="20" w:after="20" w:line="252" w:lineRule="auto"/>
              <w:jc w:val="right"/>
            </w:pPr>
            <w:r>
              <w:rPr>
                <w:rFonts w:ascii="Aptos" w:hAnsi="Aptos" w:cs="Aptos"/>
                <w:b/>
                <w:i w:val="0"/>
                <w:caps w:val="0"/>
                <w:color w:val="222222"/>
                <w:sz w:val="18"/>
              </w:rPr>
              <w:t>19,000,000</w:t>
            </w:r>
          </w:p>
        </w:tc>
      </w:tr>
    </w:tbl>
    <w:p>
      <w:pPr>
        <w:keepNext/>
        <w:spacing w:before="200" w:after="60" w:line="276" w:lineRule="auto"/>
      </w:pPr>
      <w:r>
        <w:rPr>
          <w:rFonts w:ascii="Aptos" w:hAnsi="Aptos" w:cs="Aptos"/>
          <w:b/>
          <w:i w:val="0"/>
          <w:caps w:val="0"/>
          <w:color w:val="165A43"/>
          <w:sz w:val="19"/>
        </w:rPr>
        <w:t>MONTHLY RUNNING COSTS</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7824"/>
        <w:gridCol w:w="2400"/>
      </w:tblGrid>
      <w:tr>
        <w:trPr>
          <w:cantSplit/>
          <w:tblHeader/>
        </w:trPr>
        <w:tc>
          <w:tcPr>
            <w:tcW w:type="dxa" w:w="7824"/>
            <w:shd w:val="clear" w:color="auto" w:fill="165A43"/>
          </w:tcPr>
          <w:p>
            <w:pPr>
              <w:spacing w:before="20" w:after="20" w:line="252" w:lineRule="auto"/>
              <w:jc w:val="left"/>
            </w:pPr>
            <w:r>
              <w:rPr>
                <w:rFonts w:ascii="Aptos" w:hAnsi="Aptos" w:cs="Aptos"/>
                <w:b/>
                <w:i w:val="0"/>
                <w:caps w:val="0"/>
                <w:color w:val="FFFFFF"/>
                <w:sz w:val="17"/>
              </w:rPr>
              <w:t>COST</w:t>
            </w:r>
          </w:p>
        </w:tc>
        <w:tc>
          <w:tcPr>
            <w:tcW w:type="dxa" w:w="2400"/>
            <w:shd w:val="clear" w:color="auto" w:fill="165A43"/>
          </w:tcPr>
          <w:p>
            <w:pPr>
              <w:spacing w:before="20" w:after="20" w:line="252" w:lineRule="auto"/>
              <w:jc w:val="right"/>
            </w:pPr>
            <w:r>
              <w:rPr>
                <w:rFonts w:ascii="Aptos" w:hAnsi="Aptos" w:cs="Aptos"/>
                <w:b/>
                <w:i w:val="0"/>
                <w:caps w:val="0"/>
                <w:color w:val="FFFFFF"/>
                <w:sz w:val="17"/>
              </w:rPr>
              <w:t>UGX</w:t>
            </w:r>
          </w:p>
        </w:tc>
      </w:tr>
      <w:tr>
        <w:trPr>
          <w:cantSplit/>
        </w:trPr>
        <w:tc>
          <w:tcPr>
            <w:tcW w:type="dxa" w:w="7824"/>
            <w:shd w:val="clear" w:color="auto" w:fill="EAF4EF"/>
          </w:tcPr>
          <w:p>
            <w:pPr>
              <w:spacing w:before="20" w:after="20" w:line="252" w:lineRule="auto"/>
              <w:jc w:val="left"/>
            </w:pPr>
            <w:r>
              <w:rPr>
                <w:rFonts w:ascii="Aptos" w:hAnsi="Aptos" w:cs="Aptos"/>
                <w:b w:val="0"/>
                <w:i w:val="0"/>
                <w:caps w:val="0"/>
                <w:color w:val="222222"/>
                <w:sz w:val="18"/>
              </w:rPr>
              <w:t>Midwifery and ward nursing — four midwives, a ward in-charge, two support staff</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5,500,000</w:t>
            </w:r>
          </w:p>
        </w:tc>
      </w:tr>
      <w:tr>
        <w:trPr>
          <w:cantSplit/>
        </w:trPr>
        <w:tc>
          <w:tcPr>
            <w:tcW w:type="dxa" w:w="7824"/>
            <w:shd w:val="clear" w:color="auto" w:fill="FFFFFF"/>
          </w:tcPr>
          <w:p>
            <w:pPr>
              <w:spacing w:before="20" w:after="20" w:line="252" w:lineRule="auto"/>
              <w:jc w:val="left"/>
            </w:pPr>
            <w:r>
              <w:rPr>
                <w:rFonts w:ascii="Aptos" w:hAnsi="Aptos" w:cs="Aptos"/>
                <w:b w:val="0"/>
                <w:i w:val="0"/>
                <w:caps w:val="0"/>
                <w:color w:val="222222"/>
                <w:sz w:val="18"/>
              </w:rPr>
              <w:t>Medicines, sutures and clinical consumables</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2,800,000</w:t>
            </w:r>
          </w:p>
        </w:tc>
      </w:tr>
      <w:tr>
        <w:trPr>
          <w:cantSplit/>
        </w:trPr>
        <w:tc>
          <w:tcPr>
            <w:tcW w:type="dxa" w:w="7824"/>
            <w:shd w:val="clear" w:color="auto" w:fill="EAF4EF"/>
          </w:tcPr>
          <w:p>
            <w:pPr>
              <w:spacing w:before="20" w:after="20" w:line="252" w:lineRule="auto"/>
              <w:jc w:val="left"/>
            </w:pPr>
            <w:r>
              <w:rPr>
                <w:rFonts w:ascii="Aptos" w:hAnsi="Aptos" w:cs="Aptos"/>
                <w:b w:val="0"/>
                <w:i w:val="0"/>
                <w:caps w:val="0"/>
                <w:color w:val="222222"/>
                <w:sz w:val="18"/>
              </w:rPr>
              <w:t>Utilities, standby power, water and clinical waste disposal</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1,200,000</w:t>
            </w:r>
          </w:p>
        </w:tc>
      </w:tr>
      <w:tr>
        <w:trPr>
          <w:cantSplit/>
        </w:trPr>
        <w:tc>
          <w:tcPr>
            <w:tcW w:type="dxa" w:w="7824"/>
            <w:shd w:val="clear" w:color="auto" w:fill="FFFFFF"/>
          </w:tcPr>
          <w:p>
            <w:pPr>
              <w:spacing w:before="20" w:after="20" w:line="252" w:lineRule="auto"/>
              <w:jc w:val="left"/>
            </w:pPr>
            <w:r>
              <w:rPr>
                <w:rFonts w:ascii="Aptos" w:hAnsi="Aptos" w:cs="Aptos"/>
                <w:b w:val="0"/>
                <w:i w:val="0"/>
                <w:caps w:val="0"/>
                <w:color w:val="222222"/>
                <w:sz w:val="18"/>
              </w:rPr>
              <w:t>Laundry, cleaning, maintenance and equipment servicing</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700,000</w:t>
            </w:r>
          </w:p>
        </w:tc>
      </w:tr>
      <w:tr>
        <w:trPr>
          <w:cantSplit/>
        </w:trPr>
        <w:tc>
          <w:tcPr>
            <w:tcW w:type="dxa" w:w="7824"/>
            <w:shd w:val="clear" w:color="auto" w:fill="DDEBE4"/>
          </w:tcPr>
          <w:p>
            <w:pPr>
              <w:spacing w:before="20" w:after="20" w:line="252" w:lineRule="auto"/>
              <w:jc w:val="left"/>
            </w:pPr>
            <w:r>
              <w:rPr>
                <w:rFonts w:ascii="Aptos" w:hAnsi="Aptos" w:cs="Aptos"/>
                <w:b/>
                <w:i w:val="0"/>
                <w:caps w:val="0"/>
                <w:color w:val="222222"/>
                <w:sz w:val="18"/>
              </w:rPr>
              <w:t>Monthly running costs</w:t>
            </w:r>
          </w:p>
        </w:tc>
        <w:tc>
          <w:tcPr>
            <w:tcW w:type="dxa" w:w="2400"/>
            <w:shd w:val="clear" w:color="auto" w:fill="DDEBE4"/>
          </w:tcPr>
          <w:p>
            <w:pPr>
              <w:spacing w:before="20" w:after="20" w:line="252" w:lineRule="auto"/>
              <w:jc w:val="right"/>
            </w:pPr>
            <w:r>
              <w:rPr>
                <w:rFonts w:ascii="Aptos" w:hAnsi="Aptos" w:cs="Aptos"/>
                <w:b/>
                <w:i w:val="0"/>
                <w:caps w:val="0"/>
                <w:color w:val="222222"/>
                <w:sz w:val="18"/>
              </w:rPr>
              <w:t>10,200,000</w:t>
            </w:r>
          </w:p>
        </w:tc>
      </w:tr>
    </w:tbl>
    <w:p>
      <w:pPr>
        <w:spacing w:before="0" w:after="120" w:line="276" w:lineRule="auto"/>
      </w:pPr>
      <w:r>
        <w:rPr>
          <w:rFonts w:ascii="Aptos" w:hAnsi="Aptos" w:cs="Aptos"/>
          <w:b w:val="0"/>
          <w:i w:val="0"/>
          <w:caps w:val="0"/>
          <w:color w:val="222222"/>
          <w:sz w:val="21"/>
        </w:rPr>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10224"/>
      </w:tblGrid>
      <w:tr>
        <w:tc>
          <w:tcPr>
            <w:tcW w:type="dxa" w:w="10224"/>
            <w:shd w:val="clear" w:color="auto" w:fill="DDEBE4"/>
          </w:tcPr>
          <w:p>
            <w:pPr>
              <w:spacing w:after="40" w:line="264" w:lineRule="auto"/>
            </w:pPr>
            <w:r>
              <w:rPr>
                <w:rFonts w:ascii="Aptos" w:hAnsi="Aptos" w:cs="Aptos"/>
                <w:b/>
                <w:i w:val="0"/>
                <w:caps/>
                <w:color w:val="165A43"/>
                <w:sz w:val="18"/>
              </w:rPr>
              <w:t>Phase one monthly contribution</w:t>
            </w:r>
          </w:p>
          <w:p>
            <w:pPr>
              <w:spacing w:before="0" w:after="20" w:line="276" w:lineRule="auto"/>
            </w:pPr>
            <w:r>
              <w:rPr>
                <w:rFonts w:ascii="Aptos" w:hAnsi="Aptos" w:cs="Aptos"/>
                <w:b w:val="0"/>
                <w:i w:val="0"/>
                <w:caps w:val="0"/>
                <w:color w:val="222222"/>
                <w:sz w:val="19"/>
              </w:rPr>
              <w:t>UGX 19,000,000 less UGX 10,200,000 = UGX 8,800,000 a month, once utilisation settles.</w:t>
            </w:r>
          </w:p>
        </w:tc>
      </w:tr>
    </w:tbl>
    <w:p>
      <w:pPr>
        <w:keepNext/>
        <w:spacing w:before="240" w:after="60" w:line="276" w:lineRule="auto"/>
      </w:pPr>
      <w:r>
        <w:rPr>
          <w:rFonts w:ascii="Aptos" w:hAnsi="Aptos" w:cs="Aptos"/>
          <w:b/>
          <w:i w:val="0"/>
          <w:caps w:val="0"/>
          <w:color w:val="165A43"/>
          <w:sz w:val="19"/>
        </w:rPr>
        <w:t>WHAT THE THEATRE ADDS</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7824"/>
        <w:gridCol w:w="2400"/>
      </w:tblGrid>
      <w:tr>
        <w:trPr>
          <w:cantSplit/>
          <w:tblHeader/>
        </w:trPr>
        <w:tc>
          <w:tcPr>
            <w:tcW w:type="dxa" w:w="7824"/>
            <w:shd w:val="clear" w:color="auto" w:fill="165A43"/>
          </w:tcPr>
          <w:p>
            <w:pPr>
              <w:spacing w:before="20" w:after="20" w:line="252" w:lineRule="auto"/>
              <w:jc w:val="left"/>
            </w:pPr>
            <w:r>
              <w:rPr>
                <w:rFonts w:ascii="Aptos" w:hAnsi="Aptos" w:cs="Aptos"/>
                <w:b/>
                <w:i w:val="0"/>
                <w:caps w:val="0"/>
                <w:color w:val="FFFFFF"/>
                <w:sz w:val="17"/>
              </w:rPr>
              <w:t>PHASE TWO</w:t>
            </w:r>
          </w:p>
        </w:tc>
        <w:tc>
          <w:tcPr>
            <w:tcW w:type="dxa" w:w="2400"/>
            <w:shd w:val="clear" w:color="auto" w:fill="165A43"/>
          </w:tcPr>
          <w:p>
            <w:pPr>
              <w:spacing w:before="20" w:after="20" w:line="252" w:lineRule="auto"/>
              <w:jc w:val="right"/>
            </w:pPr>
            <w:r>
              <w:rPr>
                <w:rFonts w:ascii="Aptos" w:hAnsi="Aptos" w:cs="Aptos"/>
                <w:b/>
                <w:i w:val="0"/>
                <w:caps w:val="0"/>
                <w:color w:val="FFFFFF"/>
                <w:sz w:val="17"/>
              </w:rPr>
              <w:t>UGX</w:t>
            </w:r>
          </w:p>
        </w:tc>
      </w:tr>
      <w:tr>
        <w:trPr>
          <w:cantSplit/>
        </w:trPr>
        <w:tc>
          <w:tcPr>
            <w:tcW w:type="dxa" w:w="7824"/>
            <w:shd w:val="clear" w:color="auto" w:fill="EAF4EF"/>
          </w:tcPr>
          <w:p>
            <w:pPr>
              <w:spacing w:before="20" w:after="20" w:line="252" w:lineRule="auto"/>
              <w:jc w:val="left"/>
            </w:pPr>
            <w:r>
              <w:rPr>
                <w:rFonts w:ascii="Aptos" w:hAnsi="Aptos" w:cs="Aptos"/>
                <w:b w:val="0"/>
                <w:i w:val="0"/>
                <w:caps w:val="0"/>
                <w:color w:val="222222"/>
                <w:sz w:val="18"/>
              </w:rPr>
              <w:t>Caesarean sections — 5 a month at UGX 1,700,000</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8,500,000</w:t>
            </w:r>
          </w:p>
        </w:tc>
      </w:tr>
      <w:tr>
        <w:trPr>
          <w:cantSplit/>
        </w:trPr>
        <w:tc>
          <w:tcPr>
            <w:tcW w:type="dxa" w:w="7824"/>
            <w:shd w:val="clear" w:color="auto" w:fill="FFFFFF"/>
          </w:tcPr>
          <w:p>
            <w:pPr>
              <w:spacing w:before="20" w:after="20" w:line="252" w:lineRule="auto"/>
              <w:jc w:val="left"/>
            </w:pPr>
            <w:r>
              <w:rPr>
                <w:rFonts w:ascii="Aptos" w:hAnsi="Aptos" w:cs="Aptos"/>
                <w:b w:val="0"/>
                <w:i w:val="0"/>
                <w:caps w:val="0"/>
                <w:color w:val="222222"/>
                <w:sz w:val="18"/>
              </w:rPr>
              <w:t>Less obstetric and anaesthetic session fees, 5 cases</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(2,500,000)</w:t>
            </w:r>
          </w:p>
        </w:tc>
      </w:tr>
      <w:tr>
        <w:trPr>
          <w:cantSplit/>
        </w:trPr>
        <w:tc>
          <w:tcPr>
            <w:tcW w:type="dxa" w:w="7824"/>
            <w:shd w:val="clear" w:color="auto" w:fill="EAF4EF"/>
          </w:tcPr>
          <w:p>
            <w:pPr>
              <w:spacing w:before="20" w:after="20" w:line="252" w:lineRule="auto"/>
              <w:jc w:val="left"/>
            </w:pPr>
            <w:r>
              <w:rPr>
                <w:rFonts w:ascii="Aptos" w:hAnsi="Aptos" w:cs="Aptos"/>
                <w:b w:val="0"/>
                <w:i w:val="0"/>
                <w:caps w:val="0"/>
                <w:color w:val="222222"/>
                <w:sz w:val="18"/>
              </w:rPr>
              <w:t>Less theatre nurse and sterilisation cover</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(1,400,000)</w:t>
            </w:r>
          </w:p>
        </w:tc>
      </w:tr>
      <w:tr>
        <w:trPr>
          <w:cantSplit/>
        </w:trPr>
        <w:tc>
          <w:tcPr>
            <w:tcW w:type="dxa" w:w="7824"/>
            <w:shd w:val="clear" w:color="auto" w:fill="FFFFFF"/>
          </w:tcPr>
          <w:p>
            <w:pPr>
              <w:spacing w:before="20" w:after="20" w:line="252" w:lineRule="auto"/>
              <w:jc w:val="left"/>
            </w:pPr>
            <w:r>
              <w:rPr>
                <w:rFonts w:ascii="Aptos" w:hAnsi="Aptos" w:cs="Aptos"/>
                <w:b w:val="0"/>
                <w:i w:val="0"/>
                <w:caps w:val="0"/>
                <w:color w:val="222222"/>
                <w:sz w:val="18"/>
              </w:rPr>
              <w:t>Less theatre consumables, drugs and blood handling</w:t>
            </w:r>
          </w:p>
        </w:tc>
        <w:tc>
          <w:tcPr>
            <w:tcW w:type="dxa" w:w="2400"/>
            <w:shd w:val="clear" w:color="auto" w:fill="FFFFFF"/>
          </w:tcPr>
          <w:p>
            <w:pPr>
              <w:spacing w:before="20" w:after="20" w:line="252" w:lineRule="auto"/>
              <w:jc w:val="right"/>
            </w:pPr>
            <w:r>
              <w:rPr>
                <w:rFonts w:ascii="Aptos" w:hAnsi="Aptos" w:cs="Aptos"/>
                <w:b w:val="0"/>
                <w:i w:val="0"/>
                <w:caps w:val="0"/>
                <w:color w:val="222222"/>
                <w:sz w:val="18"/>
              </w:rPr>
              <w:t>(1,300,000)</w:t>
            </w:r>
          </w:p>
        </w:tc>
      </w:tr>
      <w:tr>
        <w:trPr>
          <w:cantSplit/>
        </w:trPr>
        <w:tc>
          <w:tcPr>
            <w:tcW w:type="dxa" w:w="7824"/>
            <w:shd w:val="clear" w:color="auto" w:fill="EAF4EF"/>
          </w:tcPr>
          <w:p>
            <w:pPr>
              <w:spacing w:before="20" w:after="20" w:line="252" w:lineRule="auto"/>
              <w:jc w:val="left"/>
            </w:pPr>
            <w:r>
              <w:rPr>
                <w:rFonts w:ascii="Aptos" w:hAnsi="Aptos" w:cs="Aptos"/>
                <w:b w:val="0"/>
                <w:i w:val="0"/>
                <w:caps w:val="0"/>
                <w:color w:val="222222"/>
                <w:sz w:val="18"/>
              </w:rPr>
              <w:t>Less theatre maintenance and equipment servicing</w:t>
            </w:r>
          </w:p>
        </w:tc>
        <w:tc>
          <w:tcPr>
            <w:tcW w:type="dxa" w:w="2400"/>
            <w:shd w:val="clear" w:color="auto" w:fill="EAF4EF"/>
          </w:tcPr>
          <w:p>
            <w:pPr>
              <w:spacing w:before="20" w:after="20" w:line="252" w:lineRule="auto"/>
              <w:jc w:val="right"/>
            </w:pPr>
            <w:r>
              <w:rPr>
                <w:rFonts w:ascii="Aptos" w:hAnsi="Aptos" w:cs="Aptos"/>
                <w:b w:val="0"/>
                <w:i w:val="0"/>
                <w:caps w:val="0"/>
                <w:color w:val="222222"/>
                <w:sz w:val="18"/>
              </w:rPr>
              <w:t>(600,000)</w:t>
            </w:r>
          </w:p>
        </w:tc>
      </w:tr>
      <w:tr>
        <w:trPr>
          <w:cantSplit/>
        </w:trPr>
        <w:tc>
          <w:tcPr>
            <w:tcW w:type="dxa" w:w="7824"/>
            <w:shd w:val="clear" w:color="auto" w:fill="DDEBE4"/>
          </w:tcPr>
          <w:p>
            <w:pPr>
              <w:spacing w:before="20" w:after="20" w:line="252" w:lineRule="auto"/>
              <w:jc w:val="left"/>
            </w:pPr>
            <w:r>
              <w:rPr>
                <w:rFonts w:ascii="Aptos" w:hAnsi="Aptos" w:cs="Aptos"/>
                <w:b/>
                <w:i w:val="0"/>
                <w:caps w:val="0"/>
                <w:color w:val="222222"/>
                <w:sz w:val="18"/>
              </w:rPr>
              <w:t>Additional monthly contribution</w:t>
            </w:r>
          </w:p>
        </w:tc>
        <w:tc>
          <w:tcPr>
            <w:tcW w:type="dxa" w:w="2400"/>
            <w:shd w:val="clear" w:color="auto" w:fill="DDEBE4"/>
          </w:tcPr>
          <w:p>
            <w:pPr>
              <w:spacing w:before="20" w:after="20" w:line="252" w:lineRule="auto"/>
              <w:jc w:val="right"/>
            </w:pPr>
            <w:r>
              <w:rPr>
                <w:rFonts w:ascii="Aptos" w:hAnsi="Aptos" w:cs="Aptos"/>
                <w:b/>
                <w:i w:val="0"/>
                <w:caps w:val="0"/>
                <w:color w:val="222222"/>
                <w:sz w:val="18"/>
              </w:rPr>
              <w:t>2,700,000</w:t>
            </w:r>
          </w:p>
        </w:tc>
      </w:tr>
    </w:tbl>
    <w:p>
      <w:pPr>
        <w:spacing w:before="160" w:after="160" w:line="276" w:lineRule="auto"/>
        <w:jc w:val="both"/>
      </w:pPr>
      <w:r>
        <w:rPr>
          <w:rFonts w:ascii="Aptos" w:hAnsi="Aptos" w:cs="Aptos"/>
          <w:b w:val="0"/>
          <w:i w:val="0"/>
          <w:caps w:val="0"/>
          <w:color w:val="222222"/>
          <w:sz w:val="21"/>
        </w:rPr>
        <w:t>That takes the combined contribution to roughly UGX 11,500,000 a month. We have not modelled gynaecological use of the theatre, which in practice will carry a share of the load and improve the figure.</w:t>
      </w:r>
    </w:p>
    <w:p>
      <w:pPr>
        <w:spacing w:before="0" w:after="160" w:line="276" w:lineRule="auto"/>
        <w:jc w:val="both"/>
      </w:pPr>
      <w:r>
        <w:rPr>
          <w:rFonts w:ascii="Aptos" w:hAnsi="Aptos" w:cs="Aptos"/>
          <w:b w:val="0"/>
          <w:i w:val="0"/>
          <w:caps w:val="0"/>
          <w:color w:val="222222"/>
          <w:sz w:val="21"/>
        </w:rPr>
        <w:t>At those volumes phase one returns its own capital in about ten months of steady operation. Ten months of steady operation is not ten months from the day you release funds. Construction, recruitment, licensing and the time an antenatal book takes to fill mean the first six months will run below the table above. Our working expectation is capital recovery on phase one in fourteen to eighteen months, and on the full programme including the theatre in two and a half to three years.</w:t>
      </w:r>
    </w:p>
    <w:p>
      <w:pPr>
        <w:spacing w:before="0" w:after="80" w:line="276" w:lineRule="auto"/>
      </w:pPr>
      <w:r>
        <w:rPr>
          <w:rFonts w:ascii="Aptos" w:hAnsi="Aptos" w:cs="Aptos"/>
          <w:b w:val="0"/>
          <w:i w:val="0"/>
          <w:caps w:val="0"/>
          <w:color w:val="222222"/>
          <w:sz w:val="21"/>
        </w:rPr>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CellMar>
          <w:top w:w="80" w:type="dxa"/>
          <w:left w:w="120" w:type="dxa"/>
          <w:bottom w:w="80" w:type="dxa"/>
          <w:right w:w="120" w:type="dxa"/>
        </w:tblCellMar>
      </w:tblPr>
      <w:tblGrid>
        <w:gridCol w:w="10224"/>
      </w:tblGrid>
      <w:tr>
        <w:tc>
          <w:tcPr>
            <w:tcW w:type="dxa" w:w="10224"/>
            <w:shd w:val="clear" w:color="auto" w:fill="EAF4EF"/>
          </w:tcPr>
          <w:p>
            <w:pPr>
              <w:spacing w:after="40" w:line="264" w:lineRule="auto"/>
            </w:pPr>
            <w:r>
              <w:rPr>
                <w:rFonts w:ascii="Aptos" w:hAnsi="Aptos" w:cs="Aptos"/>
                <w:b/>
                <w:i w:val="0"/>
                <w:caps/>
                <w:color w:val="165A43"/>
                <w:sz w:val="18"/>
              </w:rPr>
              <w:t>Five numbers to replace before this is final</w:t>
            </w:r>
          </w:p>
          <w:p>
            <w:pPr>
              <w:spacing w:before="0" w:after="20" w:line="276" w:lineRule="auto"/>
            </w:pPr>
            <w:r>
              <w:rPr>
                <w:rFonts w:ascii="Aptos" w:hAnsi="Aptos" w:cs="Aptos"/>
                <w:b w:val="0"/>
                <w:i w:val="0"/>
                <w:caps w:val="0"/>
                <w:color w:val="222222"/>
                <w:sz w:val="19"/>
              </w:rPr>
              <w:t>Current monthly antenatal attendance · the delivery fee we intend to charge · the bed count we are actually building to · our intended bed-day rate · the caesarean fee. Those five drive everything else on this page, and FairBanks' own figures should replace the assumptions above before any agreement is signed.</w:t>
            </w:r>
          </w:p>
        </w:tc>
      </w:tr>
    </w:tbl>
    <w:p>
      <w:pPr>
        <w:keepNext/>
        <w:spacing w:before="280" w:after="120" w:line="276" w:lineRule="auto"/>
        <w:pBdr>
          <w:top w:val="single" w:sz="6" w:space="4" w:color="165A43"/>
        </w:pBdr>
      </w:pPr>
      <w:r>
        <w:rPr>
          <w:rFonts w:ascii="Aptos Display" w:hAnsi="Aptos Display" w:cs="Aptos Display"/>
          <w:b/>
          <w:i w:val="0"/>
          <w:caps w:val="0"/>
          <w:color w:val="165A43"/>
          <w:sz w:val="24"/>
        </w:rPr>
        <w:t>4.  What could go wrong</w:t>
      </w:r>
    </w:p>
    <w:p>
      <w:pPr>
        <w:spacing w:before="0" w:after="160" w:line="276" w:lineRule="auto"/>
        <w:jc w:val="both"/>
      </w:pPr>
      <w:r>
        <w:rPr>
          <w:rFonts w:ascii="Aptos" w:hAnsi="Aptos" w:cs="Aptos"/>
          <w:b w:val="0"/>
          <w:i w:val="0"/>
          <w:caps w:val="0"/>
          <w:color w:val="222222"/>
          <w:sz w:val="21"/>
        </w:rPr>
        <w:t>We would rather set these out ourselves than have you find them.</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Utilisation.</w:t>
      </w:r>
      <w:r>
        <w:rPr>
          <w:rFonts w:ascii="Aptos" w:hAnsi="Aptos" w:cs="Aptos"/>
          <w:b w:val="0"/>
          <w:i w:val="0"/>
          <w:caps w:val="0"/>
          <w:color w:val="222222"/>
          <w:sz w:val="21"/>
        </w:rPr>
        <w:t xml:space="preserve">  </w:t>
      </w:r>
      <w:r>
        <w:rPr>
          <w:rFonts w:ascii="Aptos" w:hAnsi="Aptos" w:cs="Aptos"/>
          <w:b w:val="0"/>
          <w:i w:val="0"/>
          <w:caps w:val="0"/>
          <w:color w:val="222222"/>
          <w:sz w:val="21"/>
        </w:rPr>
        <w:t>A delivery room fills from the antenatal book, not from advertising. If antenatal attendance does not grow, the delivery numbers above do not happen. That is exactly why phase one puts the ward and the scanner in first: you get six months of real figures before the larger commitment.</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Clinical risk.</w:t>
      </w:r>
      <w:r>
        <w:rPr>
          <w:rFonts w:ascii="Aptos" w:hAnsi="Aptos" w:cs="Aptos"/>
          <w:b w:val="0"/>
          <w:i w:val="0"/>
          <w:caps w:val="0"/>
          <w:color w:val="222222"/>
          <w:sz w:val="21"/>
        </w:rPr>
        <w:t xml:space="preserve">  </w:t>
      </w:r>
      <w:r>
        <w:rPr>
          <w:rFonts w:ascii="Aptos" w:hAnsi="Aptos" w:cs="Aptos"/>
          <w:b w:val="0"/>
          <w:i w:val="0"/>
          <w:caps w:val="0"/>
          <w:color w:val="222222"/>
          <w:sz w:val="21"/>
        </w:rPr>
        <w:t>Obstetrics carries the highest liability of anything we do. The centre already holds professional indemnity and all-risks cover, and both would be reviewed and increased before the unit opens. Protocols, partograph discipline, emergency drills and genuine 24-hour cover are conditions of opening, not refinements to add later.</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The gap before the theatre.</w:t>
      </w:r>
      <w:r>
        <w:rPr>
          <w:rFonts w:ascii="Aptos" w:hAnsi="Aptos" w:cs="Aptos"/>
          <w:b w:val="0"/>
          <w:i w:val="0"/>
          <w:caps w:val="0"/>
          <w:color w:val="222222"/>
          <w:sz w:val="21"/>
        </w:rPr>
        <w:t xml:space="preserve">  </w:t>
      </w:r>
      <w:r>
        <w:rPr>
          <w:rFonts w:ascii="Aptos" w:hAnsi="Aptos" w:cs="Aptos"/>
          <w:b w:val="0"/>
          <w:i w:val="0"/>
          <w:caps w:val="0"/>
          <w:color w:val="222222"/>
          <w:sz w:val="21"/>
        </w:rPr>
        <w:t>Until phase two is commissioned, caesareans and complications have to go out. That needs a written referral arrangement with a partner hospital and a transport plan that works at three in the morning, both in place before the first delivery.</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Regulation.</w:t>
      </w:r>
      <w:r>
        <w:rPr>
          <w:rFonts w:ascii="Aptos" w:hAnsi="Aptos" w:cs="Aptos"/>
          <w:b w:val="0"/>
          <w:i w:val="0"/>
          <w:caps w:val="0"/>
          <w:color w:val="222222"/>
          <w:sz w:val="21"/>
        </w:rPr>
        <w:t xml:space="preserve">  </w:t>
      </w:r>
      <w:r>
        <w:rPr>
          <w:rFonts w:ascii="Aptos" w:hAnsi="Aptos" w:cs="Aptos"/>
          <w:b w:val="0"/>
          <w:i w:val="0"/>
          <w:caps w:val="0"/>
          <w:color w:val="222222"/>
          <w:sz w:val="21"/>
        </w:rPr>
        <w:t>A maternity unit with a theatre needs the facility licence varied to cover that level of care, UNMC-registered midwives, UMDPC-registered clinicians and compliant clinical waste handling. We would not spend phase two money before the licence position is confirmed in writing.</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Cost.</w:t>
      </w:r>
      <w:r>
        <w:rPr>
          <w:rFonts w:ascii="Aptos" w:hAnsi="Aptos" w:cs="Aptos"/>
          <w:b w:val="0"/>
          <w:i w:val="0"/>
          <w:caps w:val="0"/>
          <w:color w:val="222222"/>
          <w:sz w:val="21"/>
        </w:rPr>
        <w:t xml:space="preserve">  </w:t>
      </w:r>
      <w:r>
        <w:rPr>
          <w:rFonts w:ascii="Aptos" w:hAnsi="Aptos" w:cs="Aptos"/>
          <w:b w:val="0"/>
          <w:i w:val="0"/>
          <w:caps w:val="0"/>
          <w:color w:val="222222"/>
          <w:sz w:val="21"/>
        </w:rPr>
        <w:t>Every figure in this document except the scanner is an estimate made before quotation. Firm prices could come back above these ranges, most likely on anaesthesia equipment, which is imported and moves with the exchange rate.</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Staffing.</w:t>
      </w:r>
      <w:r>
        <w:rPr>
          <w:rFonts w:ascii="Aptos" w:hAnsi="Aptos" w:cs="Aptos"/>
          <w:b w:val="0"/>
          <w:i w:val="0"/>
          <w:caps w:val="0"/>
          <w:color w:val="222222"/>
          <w:sz w:val="21"/>
        </w:rPr>
        <w:t xml:space="preserve">  </w:t>
      </w:r>
      <w:r>
        <w:rPr>
          <w:rFonts w:ascii="Aptos" w:hAnsi="Aptos" w:cs="Aptos"/>
          <w:b w:val="0"/>
          <w:i w:val="0"/>
          <w:caps w:val="0"/>
          <w:color w:val="222222"/>
          <w:sz w:val="21"/>
        </w:rPr>
        <w:t>Anaesthetic officers and obstetricians are scarce and they move. We propose sessional arrangements in the first year rather than full-time salaries, which keeps the cost variable and the downside smaller.</w:t>
      </w:r>
    </w:p>
    <w:p>
      <w:pPr>
        <w:keepNext/>
        <w:spacing w:before="280" w:after="120" w:line="276" w:lineRule="auto"/>
        <w:pBdr>
          <w:top w:val="single" w:sz="6" w:space="4" w:color="165A43"/>
        </w:pBdr>
      </w:pPr>
      <w:r>
        <w:rPr>
          <w:rFonts w:ascii="Aptos Display" w:hAnsi="Aptos Display" w:cs="Aptos Display"/>
          <w:b/>
          <w:i w:val="0"/>
          <w:caps w:val="0"/>
          <w:color w:val="165A43"/>
          <w:sz w:val="24"/>
        </w:rPr>
        <w:t>5.  How your money would be protected</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Separate books.</w:t>
      </w:r>
      <w:r>
        <w:rPr>
          <w:rFonts w:ascii="Aptos" w:hAnsi="Aptos" w:cs="Aptos"/>
          <w:b w:val="0"/>
          <w:i w:val="0"/>
          <w:caps w:val="0"/>
          <w:color w:val="222222"/>
          <w:sz w:val="21"/>
        </w:rPr>
        <w:t xml:space="preserve">  </w:t>
      </w:r>
      <w:r>
        <w:rPr>
          <w:rFonts w:ascii="Aptos" w:hAnsi="Aptos" w:cs="Aptos"/>
          <w:b w:val="0"/>
          <w:i w:val="0"/>
          <w:caps w:val="0"/>
          <w:color w:val="222222"/>
          <w:sz w:val="21"/>
        </w:rPr>
        <w:t>The unit is accounted for apart from the rest of the centre, with its own revenue and cost ledger from the first day.</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Release against quotations.</w:t>
      </w:r>
      <w:r>
        <w:rPr>
          <w:rFonts w:ascii="Aptos" w:hAnsi="Aptos" w:cs="Aptos"/>
          <w:b w:val="0"/>
          <w:i w:val="0"/>
          <w:caps w:val="0"/>
          <w:color w:val="222222"/>
          <w:sz w:val="21"/>
        </w:rPr>
        <w:t xml:space="preserve">  </w:t>
      </w:r>
      <w:r>
        <w:rPr>
          <w:rFonts w:ascii="Aptos" w:hAnsi="Aptos" w:cs="Aptos"/>
          <w:b w:val="0"/>
          <w:i w:val="0"/>
          <w:caps w:val="0"/>
          <w:color w:val="222222"/>
          <w:sz w:val="21"/>
        </w:rPr>
        <w:t>Funds move in tranches against signed supplier quotations and delivery notes, never against the estimates in this document.</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A one-page report every month.</w:t>
      </w:r>
      <w:r>
        <w:rPr>
          <w:rFonts w:ascii="Aptos" w:hAnsi="Aptos" w:cs="Aptos"/>
          <w:b w:val="0"/>
          <w:i w:val="0"/>
          <w:caps w:val="0"/>
          <w:color w:val="222222"/>
          <w:sz w:val="21"/>
        </w:rPr>
        <w:t xml:space="preserve">  </w:t>
      </w:r>
      <w:r>
        <w:rPr>
          <w:rFonts w:ascii="Aptos" w:hAnsi="Aptos" w:cs="Aptos"/>
          <w:b w:val="0"/>
          <w:i w:val="0"/>
          <w:caps w:val="0"/>
          <w:color w:val="222222"/>
          <w:sz w:val="21"/>
        </w:rPr>
        <w:t>Capital deployed, antenatal visits, deliveries, theatre cases, revenue, direct costs, monthly contribution and capital recovered to date.</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Your own eyes.</w:t>
      </w:r>
      <w:r>
        <w:rPr>
          <w:rFonts w:ascii="Aptos" w:hAnsi="Aptos" w:cs="Aptos"/>
          <w:b w:val="0"/>
          <w:i w:val="0"/>
          <w:caps w:val="0"/>
          <w:color w:val="222222"/>
          <w:sz w:val="21"/>
        </w:rPr>
        <w:t xml:space="preserve">  </w:t>
      </w:r>
      <w:r>
        <w:rPr>
          <w:rFonts w:ascii="Aptos" w:hAnsi="Aptos" w:cs="Aptos"/>
          <w:b w:val="0"/>
          <w:i w:val="0"/>
          <w:caps w:val="0"/>
          <w:color w:val="222222"/>
          <w:sz w:val="21"/>
        </w:rPr>
        <w:t>You may nominate someone to inspect the books, the store and the equipment at any time, without notice.</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Registered assets.</w:t>
      </w:r>
      <w:r>
        <w:rPr>
          <w:rFonts w:ascii="Aptos" w:hAnsi="Aptos" w:cs="Aptos"/>
          <w:b w:val="0"/>
          <w:i w:val="0"/>
          <w:caps w:val="0"/>
          <w:color w:val="222222"/>
          <w:sz w:val="21"/>
        </w:rPr>
        <w:t xml:space="preserve">  </w:t>
      </w:r>
      <w:r>
        <w:rPr>
          <w:rFonts w:ascii="Aptos" w:hAnsi="Aptos" w:cs="Aptos"/>
          <w:b w:val="0"/>
          <w:i w:val="0"/>
          <w:caps w:val="0"/>
          <w:color w:val="222222"/>
          <w:sz w:val="21"/>
        </w:rPr>
        <w:t>Capital equipment is asset-tagged, insured and listed, and can be named in the investment agreement as security.</w:t>
      </w:r>
    </w:p>
    <w:p>
      <w:pPr>
        <w:spacing w:before="120" w:after="160" w:line="276" w:lineRule="auto"/>
        <w:jc w:val="both"/>
      </w:pPr>
      <w:r>
        <w:rPr>
          <w:rFonts w:ascii="Aptos" w:hAnsi="Aptos" w:cs="Aptos"/>
          <w:b w:val="0"/>
          <w:i w:val="0"/>
          <w:caps w:val="0"/>
          <w:color w:val="222222"/>
          <w:sz w:val="21"/>
        </w:rPr>
        <w:t>FairBanks Medical Centre Limited is a registered Ugandan company, TIN 1053370026. The centre holds a current operating licence, a National Drug Authority licence for the pharmacy, a certificate of suitability of premises, NSSF registration, and professional indemnity and all-risks insurance. Copies of all of these are available for your review before you commit anything.</w:t>
      </w:r>
    </w:p>
    <w:p>
      <w:pPr>
        <w:keepNext/>
        <w:spacing w:before="280" w:after="120" w:line="276" w:lineRule="auto"/>
        <w:pBdr>
          <w:top w:val="single" w:sz="6" w:space="4" w:color="165A43"/>
        </w:pBdr>
      </w:pPr>
      <w:r>
        <w:rPr>
          <w:rFonts w:ascii="Aptos Display" w:hAnsi="Aptos Display" w:cs="Aptos Display"/>
          <w:b/>
          <w:i w:val="0"/>
          <w:caps w:val="0"/>
          <w:color w:val="165A43"/>
          <w:sz w:val="24"/>
        </w:rPr>
        <w:t>6.  How the investment could be structured</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A project loan.</w:t>
      </w:r>
      <w:r>
        <w:rPr>
          <w:rFonts w:ascii="Aptos" w:hAnsi="Aptos" w:cs="Aptos"/>
          <w:b w:val="0"/>
          <w:i w:val="0"/>
          <w:caps w:val="0"/>
          <w:color w:val="222222"/>
          <w:sz w:val="21"/>
        </w:rPr>
        <w:t xml:space="preserve">  </w:t>
      </w:r>
      <w:r>
        <w:rPr>
          <w:rFonts w:ascii="Aptos" w:hAnsi="Aptos" w:cs="Aptos"/>
          <w:b w:val="0"/>
          <w:i w:val="0"/>
          <w:caps w:val="0"/>
          <w:color w:val="222222"/>
          <w:sz w:val="21"/>
        </w:rPr>
        <w:t>You lend a fixed amount for a fixed term at an agreed rate, repaid from the unit's contribution. Simplest to document, and your return does not depend on how well we run the place.</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Revenue share until recovery, plus a premium.</w:t>
      </w:r>
      <w:r>
        <w:rPr>
          <w:rFonts w:ascii="Aptos" w:hAnsi="Aptos" w:cs="Aptos"/>
          <w:b w:val="0"/>
          <w:i w:val="0"/>
          <w:caps w:val="0"/>
          <w:color w:val="222222"/>
          <w:sz w:val="21"/>
        </w:rPr>
        <w:t xml:space="preserve">  </w:t>
      </w:r>
      <w:r>
        <w:rPr>
          <w:rFonts w:ascii="Aptos" w:hAnsi="Aptos" w:cs="Aptos"/>
          <w:b w:val="0"/>
          <w:i w:val="0"/>
          <w:caps w:val="0"/>
          <w:color w:val="222222"/>
          <w:sz w:val="21"/>
        </w:rPr>
        <w:t>An agreed share of the unit's monthly contribution comes to you until your capital and an agreed premium are repaid, after which the arrangement ends. Your return tracks performance, and repayment only starts once there is something to share.</w:t>
      </w:r>
    </w:p>
    <w:p>
      <w:pPr>
        <w:spacing w:before="0" w:after="100" w:line="276" w:lineRule="auto"/>
        <w:ind w:left="220" w:hanging="220"/>
        <w:jc w:val="left"/>
      </w:pPr>
      <w:r>
        <w:rPr>
          <w:rFonts w:ascii="Aptos" w:hAnsi="Aptos" w:cs="Aptos"/>
          <w:b w:val="0"/>
          <w:i w:val="0"/>
          <w:caps w:val="0"/>
          <w:color w:val="222222"/>
          <w:sz w:val="21"/>
        </w:rPr>
        <w:t xml:space="preserve">•   </w:t>
      </w:r>
      <w:r>
        <w:rPr>
          <w:rFonts w:ascii="Aptos" w:hAnsi="Aptos" w:cs="Aptos"/>
          <w:b/>
          <w:i w:val="0"/>
          <w:caps w:val="0"/>
          <w:color w:val="222222"/>
          <w:sz w:val="21"/>
        </w:rPr>
        <w:t>Equity.</w:t>
      </w:r>
      <w:r>
        <w:rPr>
          <w:rFonts w:ascii="Aptos" w:hAnsi="Aptos" w:cs="Aptos"/>
          <w:b w:val="0"/>
          <w:i w:val="0"/>
          <w:caps w:val="0"/>
          <w:color w:val="222222"/>
          <w:sz w:val="21"/>
        </w:rPr>
        <w:t xml:space="preserve">  </w:t>
      </w:r>
      <w:r>
        <w:rPr>
          <w:rFonts w:ascii="Aptos" w:hAnsi="Aptos" w:cs="Aptos"/>
          <w:b w:val="0"/>
          <w:i w:val="0"/>
          <w:caps w:val="0"/>
          <w:color w:val="222222"/>
          <w:sz w:val="21"/>
        </w:rPr>
        <w:t>A shareholding in the unit or in the company, giving you a permanent share of the upside and a voice in the decisions.</w:t>
      </w:r>
    </w:p>
    <w:p>
      <w:pPr>
        <w:spacing w:before="120" w:after="160" w:line="276" w:lineRule="auto"/>
        <w:jc w:val="both"/>
      </w:pPr>
      <w:r>
        <w:rPr>
          <w:rFonts w:ascii="Aptos" w:hAnsi="Aptos" w:cs="Aptos"/>
          <w:b w:val="0"/>
          <w:i w:val="0"/>
          <w:caps w:val="0"/>
          <w:color w:val="222222"/>
          <w:sz w:val="21"/>
        </w:rPr>
        <w:t>Our own preference is the second. It ties what you earn to how well we run the unit, it does not saddle the centre with fixed repayments during the months when utilisation is still building, and it has a defined end. That said, we are open on this. The structure should be the one that suits you.</w:t>
      </w:r>
    </w:p>
    <w:p>
      <w:pPr>
        <w:keepNext/>
        <w:spacing w:before="280" w:after="120" w:line="276" w:lineRule="auto"/>
        <w:pBdr>
          <w:top w:val="single" w:sz="6" w:space="4" w:color="165A43"/>
        </w:pBdr>
      </w:pPr>
      <w:r>
        <w:rPr>
          <w:rFonts w:ascii="Aptos Display" w:hAnsi="Aptos Display" w:cs="Aptos Display"/>
          <w:b/>
          <w:i w:val="0"/>
          <w:caps w:val="0"/>
          <w:color w:val="165A43"/>
          <w:sz w:val="24"/>
        </w:rPr>
        <w:t>7.  What we would like to agree</w:t>
      </w:r>
    </w:p>
    <w:p>
      <w:pPr>
        <w:spacing w:before="0" w:after="100" w:line="276" w:lineRule="auto"/>
        <w:ind w:left="220" w:hanging="220"/>
        <w:jc w:val="both"/>
      </w:pPr>
      <w:r>
        <w:rPr>
          <w:rFonts w:ascii="Aptos" w:hAnsi="Aptos" w:cs="Aptos"/>
          <w:b/>
          <w:i w:val="0"/>
          <w:caps w:val="0"/>
          <w:color w:val="165A43"/>
          <w:sz w:val="21"/>
        </w:rPr>
        <w:t xml:space="preserve">1.   </w:t>
      </w:r>
      <w:r>
        <w:rPr>
          <w:rFonts w:ascii="Aptos" w:hAnsi="Aptos" w:cs="Aptos"/>
          <w:b w:val="0"/>
          <w:i w:val="0"/>
          <w:caps w:val="0"/>
          <w:color w:val="222222"/>
          <w:sz w:val="21"/>
        </w:rPr>
        <w:t>You tell us the level of investment you would be comfortable considering, and which structure you would prefer.</w:t>
      </w:r>
    </w:p>
    <w:p>
      <w:pPr>
        <w:spacing w:before="0" w:after="100" w:line="276" w:lineRule="auto"/>
        <w:ind w:left="220" w:hanging="220"/>
        <w:jc w:val="both"/>
      </w:pPr>
      <w:r>
        <w:rPr>
          <w:rFonts w:ascii="Aptos" w:hAnsi="Aptos" w:cs="Aptos"/>
          <w:b/>
          <w:i w:val="0"/>
          <w:caps w:val="0"/>
          <w:color w:val="165A43"/>
          <w:sz w:val="21"/>
        </w:rPr>
        <w:t xml:space="preserve">2.   </w:t>
      </w:r>
      <w:r>
        <w:rPr>
          <w:rFonts w:ascii="Aptos" w:hAnsi="Aptos" w:cs="Aptos"/>
          <w:b w:val="0"/>
          <w:i w:val="0"/>
          <w:caps w:val="0"/>
          <w:color w:val="222222"/>
          <w:sz w:val="21"/>
        </w:rPr>
        <w:t>We put every line in section 2 to suppliers and come back within three weeks with a priced one-page budget, a tranche schedule and a cash-flow projection.</w:t>
      </w:r>
    </w:p>
    <w:p>
      <w:pPr>
        <w:spacing w:before="0" w:after="100" w:line="276" w:lineRule="auto"/>
        <w:ind w:left="220" w:hanging="220"/>
        <w:jc w:val="both"/>
      </w:pPr>
      <w:r>
        <w:rPr>
          <w:rFonts w:ascii="Aptos" w:hAnsi="Aptos" w:cs="Aptos"/>
          <w:b/>
          <w:i w:val="0"/>
          <w:caps w:val="0"/>
          <w:color w:val="165A43"/>
          <w:sz w:val="21"/>
        </w:rPr>
        <w:t xml:space="preserve">3.   </w:t>
      </w:r>
      <w:r>
        <w:rPr>
          <w:rFonts w:ascii="Aptos" w:hAnsi="Aptos" w:cs="Aptos"/>
          <w:b w:val="0"/>
          <w:i w:val="0"/>
          <w:caps w:val="0"/>
          <w:color w:val="222222"/>
          <w:sz w:val="21"/>
        </w:rPr>
        <w:t>We agree the return formula, the reporting format and the release conditions in writing.</w:t>
      </w:r>
    </w:p>
    <w:p>
      <w:pPr>
        <w:spacing w:before="0" w:after="100" w:line="276" w:lineRule="auto"/>
        <w:ind w:left="220" w:hanging="220"/>
        <w:jc w:val="both"/>
      </w:pPr>
      <w:r>
        <w:rPr>
          <w:rFonts w:ascii="Aptos" w:hAnsi="Aptos" w:cs="Aptos"/>
          <w:b/>
          <w:i w:val="0"/>
          <w:caps w:val="0"/>
          <w:color w:val="165A43"/>
          <w:sz w:val="21"/>
        </w:rPr>
        <w:t xml:space="preserve">4.   </w:t>
      </w:r>
      <w:r>
        <w:rPr>
          <w:rFonts w:ascii="Aptos" w:hAnsi="Aptos" w:cs="Aptos"/>
          <w:b w:val="0"/>
          <w:i w:val="0"/>
          <w:caps w:val="0"/>
          <w:color w:val="222222"/>
          <w:sz w:val="21"/>
        </w:rPr>
        <w:t>The first tranche is released and phase one begins.</w:t>
      </w:r>
    </w:p>
    <w:p>
      <w:pPr>
        <w:spacing w:before="120" w:after="160" w:line="276" w:lineRule="auto"/>
        <w:jc w:val="both"/>
      </w:pPr>
      <w:r>
        <w:rPr>
          <w:rFonts w:ascii="Aptos" w:hAnsi="Aptos" w:cs="Aptos"/>
          <w:b w:val="0"/>
          <w:i w:val="0"/>
          <w:caps w:val="0"/>
          <w:color w:val="222222"/>
          <w:sz w:val="21"/>
        </w:rPr>
        <w:t>We would be grateful for a meeting at the centre within the next two weeks, so you can see the space before you decide anything.</w:t>
      </w:r>
    </w:p>
    <w:p>
      <w:pPr>
        <w:spacing w:before="0" w:after="160" w:line="276" w:lineRule="auto"/>
      </w:pPr>
      <w:r>
        <w:rPr>
          <w:rFonts w:ascii="Aptos" w:hAnsi="Aptos" w:cs="Aptos"/>
          <w:b w:val="0"/>
          <w:i w:val="0"/>
          <w:caps w:val="0"/>
          <w:color w:val="222222"/>
          <w:sz w:val="21"/>
        </w:rPr>
      </w:r>
    </w:p>
    <w:p>
      <w:pPr>
        <w:spacing w:before="0" w:after="0" w:line="276" w:lineRule="auto"/>
        <w:jc w:val="center"/>
        <w:pBdr>
          <w:top w:val="single" w:sz="12" w:space="4" w:color="165A43"/>
        </w:pBdr>
      </w:pPr>
      <w:r>
        <w:rPr>
          <w:rFonts w:ascii="Aptos" w:hAnsi="Aptos" w:cs="Aptos"/>
          <w:b/>
          <w:i w:val="0"/>
          <w:caps w:val="0"/>
          <w:color w:val="165A43"/>
          <w:sz w:val="18"/>
        </w:rPr>
        <w:t>FairBanks Medical Centre Limited   ·   Kyebando-Kisalosalo, Northern Bypass, Kampala</w:t>
      </w:r>
    </w:p>
    <w:p>
      <w:pPr>
        <w:spacing w:before="0" w:after="0" w:line="276" w:lineRule="auto"/>
        <w:jc w:val="center"/>
      </w:pPr>
      <w:r>
        <w:rPr>
          <w:rFonts w:ascii="Aptos" w:hAnsi="Aptos" w:cs="Aptos"/>
          <w:b w:val="0"/>
          <w:i w:val="0"/>
          <w:caps w:val="0"/>
          <w:color w:val="222222"/>
          <w:sz w:val="17"/>
        </w:rPr>
        <w:t>info@fairbanksmedicalcentre.org  |  +256 748 319 052 / +256 777 462 398  |  www.fairbanksmedicalcentre.org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s="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