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40" w:lineRule="auto"/>
        <w:jc w:val="center"/>
      </w:pPr>
      <w:r>
        <w:rPr>
          <w:rFonts w:ascii="Times New Roman" w:hAnsi="Times New Roman" w:eastAsia="Times New Roman"/>
          <w:b/>
          <w:i w:val="0"/>
          <w:sz w:val="22"/>
        </w:rPr>
        <w:t>U.S. Department of State / GHSD — Advancing Global Health (DFOP0017890)</w:t>
      </w:r>
    </w:p>
    <w:p>
      <w:pPr>
        <w:spacing w:before="0" w:after="80" w:line="240" w:lineRule="auto"/>
        <w:jc w:val="center"/>
      </w:pPr>
      <w:r>
        <w:rPr>
          <w:rFonts w:ascii="Times New Roman" w:hAnsi="Times New Roman" w:eastAsia="Times New Roman"/>
          <w:b/>
          <w:i w:val="0"/>
          <w:sz w:val="28"/>
        </w:rPr>
        <w:t>Statement of Interest — Phase 1</w:t>
      </w:r>
    </w:p>
    <w:p>
      <w:pPr>
        <w:spacing w:before="0" w:after="80" w:line="240" w:lineRule="auto"/>
        <w:jc w:val="center"/>
      </w:pPr>
      <w:r>
        <w:rPr>
          <w:rFonts w:ascii="Times New Roman" w:hAnsi="Times New Roman" w:eastAsia="Times New Roman"/>
          <w:b/>
          <w:i/>
          <w:sz w:val="24"/>
        </w:rPr>
        <w:t>FairBanks Medical Centre  ·  FairBanks Community Reach  ·  FCHIP</w:t>
      </w:r>
    </w:p>
    <w:p>
      <w:pPr>
        <w:spacing w:before="0" w:after="80" w:line="240" w:lineRule="auto"/>
        <w:jc w:val="center"/>
      </w:pPr>
      <w:r>
        <w:rPr>
          <w:rFonts w:ascii="Times New Roman" w:hAnsi="Times New Roman" w:eastAsia="Times New Roman"/>
          <w:b w:val="0"/>
          <w:i/>
          <w:sz w:val="22"/>
        </w:rPr>
        <w:t>Track 2, Objective 4: Strengthen and Scale Interoperable, Fit-for-Purpose Digital Health Systems</w:t>
      </w:r>
    </w:p>
    <w:p>
      <w:pPr>
        <w:spacing w:before="0" w:after="200" w:line="240" w:lineRule="auto"/>
        <w:jc w:val="center"/>
      </w:pPr>
      <w:r>
        <w:rPr>
          <w:rFonts w:ascii="Times New Roman" w:hAnsi="Times New Roman" w:eastAsia="Times New Roman"/>
          <w:b/>
          <w:i/>
          <w:sz w:val="24"/>
        </w:rPr>
        <w:t>Your health, our mission.</w:t>
      </w:r>
    </w:p>
    <w:p>
      <w:pPr>
        <w:spacing w:before="240" w:after="120" w:line="240" w:lineRule="auto"/>
      </w:pPr>
      <w:r>
        <w:rPr>
          <w:rFonts w:ascii="Times New Roman" w:hAnsi="Times New Roman" w:eastAsia="Times New Roman"/>
          <w:b/>
          <w:i w:val="0"/>
          <w:sz w:val="24"/>
        </w:rPr>
        <w:t>Table Listing of Critical Details</w:t>
      </w:r>
    </w:p>
    <w:tbl>
      <w:tblPr>
        <w:tblW w:type="auto" w:w="0"/>
        <w:jc w:val="center"/>
        <w:tblLook w:firstColumn="1" w:firstRow="1" w:lastColumn="0" w:lastRow="0" w:noHBand="0" w:noVBand="1" w:val="04A0"/>
      </w:tblPr>
      <w:tblGrid>
        <w:gridCol w:w="4680"/>
        <w:gridCol w:w="4680"/>
      </w:tblGrid>
      <w:tr>
        <w:tc>
          <w:tcPr>
            <w:tcW w:type="dxa" w:w="3456"/>
            <w:shd w:fill="E8EEEE"/>
            <w:tcBorders>
              <w:top w:val="single" w:sz="4" w:color="888888"/>
              <w:left w:val="single" w:sz="4" w:color="888888"/>
              <w:bottom w:val="single" w:sz="4" w:color="888888"/>
              <w:right w:val="single" w:sz="4" w:color="888888"/>
            </w:tcBorders>
          </w:tcPr>
          <w:p>
            <w:r/>
            <w:r>
              <w:rPr>
                <w:rFonts w:ascii="Times New Roman" w:hAnsi="Times New Roman" w:eastAsia="Times New Roman"/>
                <w:b/>
                <w:i w:val="0"/>
                <w:sz w:val="20"/>
              </w:rPr>
              <w:t>Item</w:t>
            </w:r>
          </w:p>
        </w:tc>
        <w:tc>
          <w:tcPr>
            <w:tcW w:type="dxa" w:w="5904"/>
            <w:shd w:fill="E8EEEE"/>
            <w:tcBorders>
              <w:top w:val="single" w:sz="4" w:color="888888"/>
              <w:left w:val="single" w:sz="4" w:color="888888"/>
              <w:bottom w:val="single" w:sz="4" w:color="888888"/>
              <w:right w:val="single" w:sz="4" w:color="888888"/>
            </w:tcBorders>
          </w:tcPr>
          <w:p>
            <w:r/>
            <w:r>
              <w:rPr>
                <w:rFonts w:ascii="Times New Roman" w:hAnsi="Times New Roman" w:eastAsia="Times New Roman"/>
                <w:b/>
                <w:i w:val="0"/>
                <w:sz w:val="20"/>
              </w:rPr>
              <w:t>Detail</w:t>
            </w:r>
          </w:p>
        </w:tc>
      </w:tr>
      <w:tr>
        <w:tc>
          <w:tcPr>
            <w:tcW w:type="dxa" w:w="34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Proposed Project Title</w:t>
            </w:r>
          </w:p>
        </w:tc>
        <w:tc>
          <w:tcPr>
            <w:tcW w:type="dxa" w:w="59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FCHIP Last-Mile Bridge: Interoperable Community Health Data into Uganda's National Digital Health Architecture</w:t>
            </w:r>
          </w:p>
        </w:tc>
      </w:tr>
      <w:tr>
        <w:tc>
          <w:tcPr>
            <w:tcW w:type="dxa" w:w="34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Name of the Organization</w:t>
            </w:r>
          </w:p>
        </w:tc>
        <w:tc>
          <w:tcPr>
            <w:tcW w:type="dxa" w:w="59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FairBanks Medical Centre</w:t>
            </w:r>
          </w:p>
        </w:tc>
      </w:tr>
      <w:tr>
        <w:tc>
          <w:tcPr>
            <w:tcW w:type="dxa" w:w="34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Addendum to which the SOI is responding</w:t>
            </w:r>
          </w:p>
        </w:tc>
        <w:tc>
          <w:tcPr>
            <w:tcW w:type="dxa" w:w="59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Addendum E: Health Foreign Assistance Memorandum of Understanding (MOU) Implementation in Uganda</w:t>
            </w:r>
          </w:p>
        </w:tc>
      </w:tr>
      <w:tr>
        <w:tc>
          <w:tcPr>
            <w:tcW w:type="dxa" w:w="34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Target Benefiting Country</w:t>
            </w:r>
          </w:p>
        </w:tc>
        <w:tc>
          <w:tcPr>
            <w:tcW w:type="dxa" w:w="59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Uganda</w:t>
            </w:r>
          </w:p>
        </w:tc>
      </w:tr>
      <w:tr>
        <w:tc>
          <w:tcPr>
            <w:tcW w:type="dxa" w:w="34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Total Federal Share Requested</w:t>
            </w:r>
          </w:p>
        </w:tc>
        <w:tc>
          <w:tcPr>
            <w:tcW w:type="dxa" w:w="59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$1,850,000</w:t>
            </w:r>
          </w:p>
        </w:tc>
      </w:tr>
      <w:tr>
        <w:tc>
          <w:tcPr>
            <w:tcW w:type="dxa" w:w="34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Total Cost Share (as applicable)</w:t>
            </w:r>
          </w:p>
        </w:tc>
        <w:tc>
          <w:tcPr>
            <w:tcW w:type="dxa" w:w="59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$0 (none proposed at SOI stage)</w:t>
            </w:r>
          </w:p>
        </w:tc>
      </w:tr>
      <w:tr>
        <w:tc>
          <w:tcPr>
            <w:tcW w:type="dxa" w:w="34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Project Length</w:t>
            </w:r>
          </w:p>
        </w:tc>
        <w:tc>
          <w:tcPr>
            <w:tcW w:type="dxa" w:w="59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36 months</w:t>
            </w:r>
          </w:p>
        </w:tc>
      </w:tr>
    </w:tbl>
    <w:p/>
    <w:p>
      <w:r>
        <w:br w:type="page"/>
      </w:r>
    </w:p>
    <w:p>
      <w:pPr>
        <w:spacing w:before="240" w:after="120" w:line="240" w:lineRule="auto"/>
      </w:pPr>
      <w:r>
        <w:rPr>
          <w:rFonts w:ascii="Times New Roman" w:hAnsi="Times New Roman" w:eastAsia="Times New Roman"/>
          <w:b/>
          <w:i w:val="0"/>
          <w:sz w:val="24"/>
        </w:rPr>
        <w:t>1. Issue / Challenge / Opportunity</w:t>
      </w:r>
    </w:p>
    <w:p>
      <w:pPr>
        <w:spacing w:before="0" w:after="120" w:line="240" w:lineRule="auto"/>
        <w:jc w:val="left"/>
      </w:pPr>
      <w:r>
        <w:rPr>
          <w:rFonts w:ascii="Times New Roman" w:hAnsi="Times New Roman" w:eastAsia="Times New Roman"/>
          <w:b w:val="0"/>
          <w:i w:val="0"/>
          <w:sz w:val="24"/>
        </w:rPr>
        <w:t>Uganda's five-year health transition (April 2026-December 2030) asks facilities, districts, and communities to keep HIV, TB, malaria, maternal and child health, immunisation, and outbreak services strong while shifting toward government-led, performance-based programming. That shift only works if decision-makers see what is happening at the last mile - not weeks later in paper registers.</w:t>
      </w:r>
    </w:p>
    <w:p>
      <w:pPr>
        <w:spacing w:before="0" w:after="120" w:line="240" w:lineRule="auto"/>
        <w:jc w:val="left"/>
      </w:pPr>
      <w:r>
        <w:rPr>
          <w:rFonts w:ascii="Times New Roman" w:hAnsi="Times New Roman" w:eastAsia="Times New Roman"/>
          <w:b w:val="0"/>
          <w:i w:val="0"/>
          <w:sz w:val="24"/>
        </w:rPr>
        <w:t>Community Health Workers and Village Health Teams already walk households and refer patients. Too often their work never reaches eCHIS, facility EMRs, DHIS2/eIDSR, or the National Data Warehouse in a usable form. National digital systems then miss early fever clusters, missed antenatal visits, immunisation gaps, and stock pressure. The result is reactive care, weak accountability, and higher risk that transition gains reverse.</w:t>
      </w:r>
    </w:p>
    <w:p>
      <w:pPr>
        <w:spacing w:before="0" w:after="120" w:line="240" w:lineRule="auto"/>
        <w:jc w:val="left"/>
      </w:pPr>
      <w:r>
        <w:rPr>
          <w:rFonts w:ascii="Times New Roman" w:hAnsi="Times New Roman" w:eastAsia="Times New Roman"/>
          <w:b w:val="0"/>
          <w:i w:val="0"/>
          <w:sz w:val="24"/>
        </w:rPr>
        <w:t>The opportunity is clear: bridge last-mile community data into Uganda's approved National Digital Health Architecture (NDHA) so Ministry of Health (MoH) systems become more complete, more actionable, and progressively owned by Government of Uganda (GOU) institutions - without building a parallel silo.</w:t>
      </w:r>
    </w:p>
    <w:p>
      <w:pPr>
        <w:spacing w:before="240" w:after="120" w:line="240" w:lineRule="auto"/>
      </w:pPr>
      <w:r>
        <w:rPr>
          <w:rFonts w:ascii="Times New Roman" w:hAnsi="Times New Roman" w:eastAsia="Times New Roman"/>
          <w:b/>
          <w:i w:val="0"/>
          <w:sz w:val="24"/>
        </w:rPr>
        <w:t>2. Proposed Solution / Activities</w:t>
      </w:r>
    </w:p>
    <w:p>
      <w:pPr>
        <w:spacing w:before="0" w:after="120" w:line="240" w:lineRule="auto"/>
        <w:jc w:val="left"/>
      </w:pPr>
      <w:r>
        <w:rPr>
          <w:rFonts w:ascii="Times New Roman" w:hAnsi="Times New Roman" w:eastAsia="Times New Roman"/>
          <w:b w:val="0"/>
          <w:i w:val="0"/>
          <w:sz w:val="24"/>
        </w:rPr>
        <w:t>FairBanks Medical Centre and FairBanks Community Reach respectfully submit this Statement of Interest under Track 2, Objective 4 of Addendum E: strengthen and scale interoperable, fit-for-purpose digital health systems with progressive GOU responsibility and sustainable operations.</w:t>
      </w:r>
    </w:p>
    <w:p>
      <w:pPr>
        <w:spacing w:before="0" w:after="120" w:line="240" w:lineRule="auto"/>
        <w:jc w:val="left"/>
      </w:pPr>
      <w:r>
        <w:rPr>
          <w:rFonts w:ascii="Times New Roman" w:hAnsi="Times New Roman" w:eastAsia="Times New Roman"/>
          <w:b w:val="0"/>
          <w:i w:val="0"/>
          <w:sz w:val="24"/>
        </w:rPr>
        <w:t>We propose to pilot and then transfer a community-to-facility intelligence layer - the FairBanks Community Health Intelligence Platform (FCHIP) - that captures CHW/VHT household and visit data offline, syncs securely, maps indicators to national reporting elements, and feeds facility and district action. FCHIP is not a parallel national system. It is a bridge that makes Uganda's existing digital stack more complete at community level and more useful for prevention.</w:t>
      </w:r>
    </w:p>
    <w:p>
      <w:pPr>
        <w:spacing w:before="0" w:after="120" w:line="240" w:lineRule="auto"/>
        <w:jc w:val="left"/>
      </w:pPr>
      <w:r>
        <w:rPr>
          <w:rFonts w:ascii="Times New Roman" w:hAnsi="Times New Roman" w:eastAsia="Times New Roman"/>
          <w:b w:val="0"/>
          <w:i w:val="0"/>
          <w:sz w:val="24"/>
        </w:rPr>
        <w:t>Primary subsystem focus (permitted under Objective 4): eCHIS-aligned household/visit capture; facility EMR encounter and referral handoff (eAfya/ClinicMaster pathways as available in the catchment); DHIS2 aggregate reporting and eIDSR surveillance signals; readiness feeds toward the National Data Warehouse; and iHRIS-aware CHW/VHT workforce directories where schemas allow. Design aligns with NDHA and OpenHIE-consistent interoperability (API-first, standards-aware exports), under MoH digital health authority.</w:t>
      </w:r>
    </w:p>
    <w:p>
      <w:pPr>
        <w:spacing w:before="0" w:after="120" w:line="240" w:lineRule="auto"/>
        <w:jc w:val="left"/>
      </w:pPr>
      <w:r>
        <w:rPr>
          <w:rFonts w:ascii="Times New Roman" w:hAnsi="Times New Roman" w:eastAsia="Times New Roman"/>
          <w:b w:val="0"/>
          <w:i/>
          <w:sz w:val="24"/>
        </w:rPr>
        <w:t>This partnership is designed as a durable win-win: each party gains something lasting, and no party depends forever on a private tool outside GOU systems.</w:t>
      </w:r>
    </w:p>
    <w:tbl>
      <w:tblPr>
        <w:tblW w:type="auto" w:w="0"/>
        <w:jc w:val="center"/>
        <w:tblLook w:firstColumn="1" w:firstRow="1" w:lastColumn="0" w:lastRow="0" w:noHBand="0" w:noVBand="1" w:val="04A0"/>
      </w:tblPr>
      <w:tblGrid>
        <w:gridCol w:w="4680"/>
        <w:gridCol w:w="4680"/>
      </w:tblGrid>
      <w:tr>
        <w:tc>
          <w:tcPr>
            <w:tcW w:type="dxa" w:w="2880"/>
            <w:shd w:fill="E8EEEE"/>
            <w:tcBorders>
              <w:top w:val="single" w:sz="4" w:color="888888"/>
              <w:left w:val="single" w:sz="4" w:color="888888"/>
              <w:bottom w:val="single" w:sz="4" w:color="888888"/>
              <w:right w:val="single" w:sz="4" w:color="888888"/>
            </w:tcBorders>
          </w:tcPr>
          <w:p>
            <w:r/>
            <w:r>
              <w:rPr>
                <w:rFonts w:ascii="Times New Roman" w:hAnsi="Times New Roman" w:eastAsia="Times New Roman"/>
                <w:b/>
                <w:i w:val="0"/>
                <w:sz w:val="20"/>
              </w:rPr>
              <w:t>Who gains</w:t>
            </w:r>
          </w:p>
        </w:tc>
        <w:tc>
          <w:tcPr>
            <w:tcW w:type="dxa" w:w="6480"/>
            <w:shd w:fill="E8EEEE"/>
            <w:tcBorders>
              <w:top w:val="single" w:sz="4" w:color="888888"/>
              <w:left w:val="single" w:sz="4" w:color="888888"/>
              <w:bottom w:val="single" w:sz="4" w:color="888888"/>
              <w:right w:val="single" w:sz="4" w:color="888888"/>
            </w:tcBorders>
          </w:tcPr>
          <w:p>
            <w:r/>
            <w:r>
              <w:rPr>
                <w:rFonts w:ascii="Times New Roman" w:hAnsi="Times New Roman" w:eastAsia="Times New Roman"/>
                <w:b/>
                <w:i w:val="0"/>
                <w:sz w:val="20"/>
              </w:rPr>
              <w:t>What they gain</w:t>
            </w:r>
          </w:p>
        </w:tc>
      </w:tr>
      <w:tr>
        <w:tc>
          <w:tcPr>
            <w:tcW w:type="dxa" w:w="2880"/>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Uganda / Ministry of Health</w:t>
            </w:r>
          </w:p>
        </w:tc>
        <w:tc>
          <w:tcPr>
            <w:tcW w:type="dxa" w:w="6480"/>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Richer last-mile data into eCHIS, DHIS2/eIDSR, and related national platforms; clearer referral closure; documented handoff of staffing and recurrent costs toward GOU ownership by project close.</w:t>
            </w:r>
          </w:p>
        </w:tc>
      </w:tr>
      <w:tr>
        <w:tc>
          <w:tcPr>
            <w:tcW w:type="dxa" w:w="2880"/>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U.S. Department of State / GHSD</w:t>
            </w:r>
          </w:p>
        </w:tc>
        <w:tc>
          <w:tcPr>
            <w:tcW w:type="dxa" w:w="6480"/>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A Ugandan implementer with a live clinic and community network that protects essential services while proving interoperable digital scale-up under the MOU - accountable, measurable, and transferable - advancing U.S. interests in health security and country self-reliance.</w:t>
            </w:r>
          </w:p>
        </w:tc>
      </w:tr>
      <w:tr>
        <w:tc>
          <w:tcPr>
            <w:tcW w:type="dxa" w:w="2880"/>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Districts &amp; facilities</w:t>
            </w:r>
          </w:p>
        </w:tc>
        <w:tc>
          <w:tcPr>
            <w:tcW w:type="dxa" w:w="6480"/>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Dashboards for outreach targeting, referral follow-up, and programme monitoring; GIS hotspot views that support planning before outbreaks arrive at the ward.</w:t>
            </w:r>
          </w:p>
        </w:tc>
      </w:tr>
      <w:tr>
        <w:tc>
          <w:tcPr>
            <w:tcW w:type="dxa" w:w="2880"/>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Communities &amp; CHWs/VHTs</w:t>
            </w:r>
          </w:p>
        </w:tc>
        <w:tc>
          <w:tcPr>
            <w:tcW w:type="dxa" w:w="6480"/>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Simple offline tools, faster support from the medical centre, and care that reaches mothers, children, older persons, and people with chronic conditions before crises.</w:t>
            </w:r>
          </w:p>
        </w:tc>
      </w:tr>
      <w:tr>
        <w:tc>
          <w:tcPr>
            <w:tcW w:type="dxa" w:w="2880"/>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FairBanks / FCHIP</w:t>
            </w:r>
          </w:p>
        </w:tc>
        <w:tc>
          <w:tcPr>
            <w:tcW w:type="dxa" w:w="6480"/>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Room to refine and document a production-grade interoperability model inside a real catchment - then share specifications, training packages, and transfer plans with MoH-aligned partners.</w:t>
            </w:r>
          </w:p>
        </w:tc>
      </w:tr>
    </w:tbl>
    <w:p/>
    <w:p>
      <w:pPr>
        <w:spacing w:before="0" w:after="80" w:line="240" w:lineRule="auto"/>
        <w:jc w:val="left"/>
      </w:pPr>
      <w:r>
        <w:rPr>
          <w:rFonts w:ascii="Times New Roman" w:hAnsi="Times New Roman" w:eastAsia="Times New Roman"/>
          <w:b/>
          <w:i w:val="0"/>
          <w:sz w:val="24"/>
        </w:rPr>
        <w:t>Core activities:</w:t>
      </w:r>
    </w:p>
    <w:p>
      <w:pPr>
        <w:pStyle w:val="ListBullet"/>
        <w:spacing w:after="60" w:line="240" w:lineRule="auto"/>
      </w:pPr>
      <w:r>
        <w:rPr>
          <w:rFonts w:ascii="Times New Roman" w:hAnsi="Times New Roman" w:eastAsia="Times New Roman"/>
          <w:b w:val="0"/>
          <w:i w:val="0"/>
          <w:sz w:val="24"/>
        </w:rPr>
        <w:t>A1. Deploy offline-capable CHW/VHT capture aligned with eCHIS household and visit concepts across FairBanks Community Reach catchments.</w:t>
      </w:r>
    </w:p>
    <w:p>
      <w:pPr>
        <w:pStyle w:val="ListBullet"/>
        <w:spacing w:after="60" w:line="240" w:lineRule="auto"/>
      </w:pPr>
      <w:r>
        <w:rPr>
          <w:rFonts w:ascii="Times New Roman" w:hAnsi="Times New Roman" w:eastAsia="Times New Roman"/>
          <w:b w:val="0"/>
          <w:i w:val="0"/>
          <w:sz w:val="24"/>
        </w:rPr>
        <w:t>A2. Establish a secure sync and role-based access pipeline linking community records to FairBanks Medical Centre workflows and authorised district viewers, consistent with Uganda data-protection and cybersecurity expectations.</w:t>
      </w:r>
    </w:p>
    <w:p>
      <w:pPr>
        <w:pStyle w:val="ListBullet"/>
        <w:spacing w:after="60" w:line="240" w:lineRule="auto"/>
      </w:pPr>
      <w:r>
        <w:rPr>
          <w:rFonts w:ascii="Times New Roman" w:hAnsi="Times New Roman" w:eastAsia="Times New Roman"/>
          <w:b w:val="0"/>
          <w:i w:val="0"/>
          <w:sz w:val="24"/>
        </w:rPr>
        <w:t>A3. Map community indicators to DHIS2 reporting elements and demonstrate aggregate submission pathways for MNCH, immunisation, NCD screening, and disease surveillance signals (including eIDSR-relevant alerts).</w:t>
      </w:r>
    </w:p>
    <w:p>
      <w:pPr>
        <w:pStyle w:val="ListBullet"/>
        <w:spacing w:after="60" w:line="240" w:lineRule="auto"/>
      </w:pPr>
      <w:r>
        <w:rPr>
          <w:rFonts w:ascii="Times New Roman" w:hAnsi="Times New Roman" w:eastAsia="Times New Roman"/>
          <w:b w:val="0"/>
          <w:i w:val="0"/>
          <w:sz w:val="24"/>
        </w:rPr>
        <w:t>A4. Deliver facility and programme dashboards plus GIS hotspot views that trigger outreach, referrals, and supply planning actions.</w:t>
      </w:r>
    </w:p>
    <w:p>
      <w:pPr>
        <w:pStyle w:val="ListBullet"/>
        <w:spacing w:after="60" w:line="240" w:lineRule="auto"/>
      </w:pPr>
      <w:r>
        <w:rPr>
          <w:rFonts w:ascii="Times New Roman" w:hAnsi="Times New Roman" w:eastAsia="Times New Roman"/>
          <w:b w:val="0"/>
          <w:i w:val="0"/>
          <w:sz w:val="24"/>
        </w:rPr>
        <w:t>A5. Produce interoperability specifications, data-governance protocols, training curricula, and a staged GOU-ownership transition plan (staffing and recurrent operating costs) suitable for full-proposal detailed design.</w:t>
      </w:r>
    </w:p>
    <w:p>
      <w:pPr>
        <w:spacing w:before="120" w:after="80" w:line="240" w:lineRule="auto"/>
        <w:jc w:val="left"/>
      </w:pPr>
      <w:r>
        <w:rPr>
          <w:rFonts w:ascii="Times New Roman" w:hAnsi="Times New Roman" w:eastAsia="Times New Roman"/>
          <w:b/>
          <w:i w:val="0"/>
          <w:sz w:val="24"/>
        </w:rPr>
        <w:t>Project approach:</w:t>
      </w:r>
    </w:p>
    <w:p>
      <w:pPr>
        <w:spacing w:before="0" w:after="100" w:line="240" w:lineRule="auto"/>
        <w:jc w:val="left"/>
      </w:pPr>
      <w:r>
        <w:rPr>
          <w:rFonts w:ascii="Times New Roman" w:hAnsi="Times New Roman" w:eastAsia="Times New Roman"/>
          <w:b w:val="0"/>
          <w:i w:val="0"/>
          <w:sz w:val="24"/>
        </w:rPr>
        <w:t>Anchor in a live cascade: community members identify needs; CHWs/VHTs collect and educate; FairBanks Community Reach runs outreach and home visits; FairBanks Medical Centre provides clinical care, diagnostics, pharmacy, and referrals; FCHIP is the intelligence layer that closes the data-and-feedback loop.</w:t>
      </w:r>
    </w:p>
    <w:p>
      <w:pPr>
        <w:spacing w:before="0" w:after="100" w:line="240" w:lineRule="auto"/>
        <w:jc w:val="left"/>
      </w:pPr>
      <w:r>
        <w:rPr>
          <w:rFonts w:ascii="Times New Roman" w:hAnsi="Times New Roman" w:eastAsia="Times New Roman"/>
          <w:b w:val="0"/>
          <w:i w:val="0"/>
          <w:sz w:val="24"/>
        </w:rPr>
        <w:t>Build API-first, standards-aware exports - not a closed proprietary vault. Prioritise interoperability with eCHIS, DHIS2/eIDSR, facility EMR pathways (eAfya/ClinicMaster as applicable), and National Data Warehouse readiness when schemas are confirmed.</w:t>
      </w:r>
    </w:p>
    <w:p>
      <w:pPr>
        <w:spacing w:before="0" w:after="100" w:line="240" w:lineRule="auto"/>
        <w:jc w:val="left"/>
      </w:pPr>
      <w:r>
        <w:rPr>
          <w:rFonts w:ascii="Times New Roman" w:hAnsi="Times New Roman" w:eastAsia="Times New Roman"/>
          <w:b w:val="0"/>
          <w:i w:val="0"/>
          <w:sz w:val="24"/>
        </w:rPr>
        <w:t>Protect essential services during transition: structure community data around HIV/TB/malaria flags where relevant, maternal and child pathways, immunisation follow-up, and outbreak early warning so digital work reinforces - not distracts from - service continuity.</w:t>
      </w:r>
    </w:p>
    <w:p>
      <w:pPr>
        <w:spacing w:before="0" w:after="100" w:line="240" w:lineRule="auto"/>
        <w:jc w:val="left"/>
      </w:pPr>
      <w:r>
        <w:rPr>
          <w:rFonts w:ascii="Times New Roman" w:hAnsi="Times New Roman" w:eastAsia="Times New Roman"/>
          <w:b w:val="0"/>
          <w:i w:val="0"/>
          <w:sz w:val="24"/>
        </w:rPr>
        <w:t>Co-design forms and alerts with CHWs, facility staff, and local leaders; train Ugandan data stewards and developers; document every interface for MoH review.</w:t>
      </w:r>
    </w:p>
    <w:p>
      <w:pPr>
        <w:spacing w:before="0" w:after="100" w:line="240" w:lineRule="auto"/>
        <w:jc w:val="left"/>
      </w:pPr>
      <w:r>
        <w:rPr>
          <w:rFonts w:ascii="Times New Roman" w:hAnsi="Times New Roman" w:eastAsia="Times New Roman"/>
          <w:b w:val="0"/>
          <w:i w:val="0"/>
          <w:sz w:val="24"/>
        </w:rPr>
        <w:t>Start where FairBanks already operates (Bukoto, Kyebando, Kisaasi, Kamwokya, Kikaaya and surrounding communities), then design for district replication using Uganda's existing CHW/VHT architecture.</w:t>
      </w:r>
    </w:p>
    <w:p>
      <w:pPr>
        <w:spacing w:before="240" w:after="120" w:line="240" w:lineRule="auto"/>
      </w:pPr>
      <w:r>
        <w:rPr>
          <w:rFonts w:ascii="Times New Roman" w:hAnsi="Times New Roman" w:eastAsia="Times New Roman"/>
          <w:b/>
          <w:i w:val="0"/>
          <w:sz w:val="24"/>
        </w:rPr>
        <w:t>3. Anticipated Outcomes and Results</w:t>
      </w:r>
    </w:p>
    <w:p>
      <w:pPr>
        <w:spacing w:before="0" w:after="120" w:line="240" w:lineRule="auto"/>
        <w:jc w:val="left"/>
      </w:pPr>
      <w:r>
        <w:rPr>
          <w:rFonts w:ascii="Times New Roman" w:hAnsi="Times New Roman" w:eastAsia="Times New Roman"/>
          <w:b w:val="0"/>
          <w:i w:val="0"/>
          <w:sz w:val="24"/>
        </w:rPr>
        <w:t>Success means lives protected, systems strengthened, efficiency improved, self-reliance advanced, and U.S. investments secured through GOU-owned digital continuity:</w:t>
      </w:r>
    </w:p>
    <w:tbl>
      <w:tblPr>
        <w:tblW w:type="auto" w:w="0"/>
        <w:jc w:val="center"/>
        <w:tblLook w:firstColumn="1" w:firstRow="1" w:lastColumn="0" w:lastRow="0" w:noHBand="0" w:noVBand="1" w:val="04A0"/>
      </w:tblPr>
      <w:tblGrid>
        <w:gridCol w:w="4680"/>
        <w:gridCol w:w="4680"/>
      </w:tblGrid>
      <w:tr>
        <w:tc>
          <w:tcPr>
            <w:tcW w:type="dxa" w:w="2304"/>
            <w:shd w:fill="E8EEEE"/>
            <w:tcBorders>
              <w:top w:val="single" w:sz="4" w:color="888888"/>
              <w:left w:val="single" w:sz="4" w:color="888888"/>
              <w:bottom w:val="single" w:sz="4" w:color="888888"/>
              <w:right w:val="single" w:sz="4" w:color="888888"/>
            </w:tcBorders>
          </w:tcPr>
          <w:p>
            <w:r/>
            <w:r>
              <w:rPr>
                <w:rFonts w:ascii="Times New Roman" w:hAnsi="Times New Roman" w:eastAsia="Times New Roman"/>
                <w:b/>
                <w:i w:val="0"/>
                <w:sz w:val="20"/>
              </w:rPr>
              <w:t>Outcome lens</w:t>
            </w:r>
          </w:p>
        </w:tc>
        <w:tc>
          <w:tcPr>
            <w:tcW w:type="dxa" w:w="7056"/>
            <w:shd w:fill="E8EEEE"/>
            <w:tcBorders>
              <w:top w:val="single" w:sz="4" w:color="888888"/>
              <w:left w:val="single" w:sz="4" w:color="888888"/>
              <w:bottom w:val="single" w:sz="4" w:color="888888"/>
              <w:right w:val="single" w:sz="4" w:color="888888"/>
            </w:tcBorders>
          </w:tcPr>
          <w:p>
            <w:r/>
            <w:r>
              <w:rPr>
                <w:rFonts w:ascii="Times New Roman" w:hAnsi="Times New Roman" w:eastAsia="Times New Roman"/>
                <w:b/>
                <w:i w:val="0"/>
                <w:sz w:val="20"/>
              </w:rPr>
              <w:t>What success looks like</w:t>
            </w:r>
          </w:p>
        </w:tc>
      </w:tr>
      <w:tr>
        <w:tc>
          <w:tcPr>
            <w:tcW w:type="dxa" w:w="23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Save lives</w:t>
            </w:r>
          </w:p>
        </w:tc>
        <w:tc>
          <w:tcPr>
            <w:tcW w:type="dxa" w:w="70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Earlier alerts for missed ANC, immunisation gaps, fever clusters, and referral drop-offs - linked to CHW follow-up and clinic action.</w:t>
            </w:r>
          </w:p>
        </w:tc>
      </w:tr>
      <w:tr>
        <w:tc>
          <w:tcPr>
            <w:tcW w:type="dxa" w:w="23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Strengthen systems</w:t>
            </w:r>
          </w:p>
        </w:tc>
        <w:tc>
          <w:tcPr>
            <w:tcW w:type="dxa" w:w="70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Working mappings and demo exports for eCHIS-aligned records and DHIS2/eIDSR aggregates, with open documentation for MoH and partners.</w:t>
            </w:r>
          </w:p>
        </w:tc>
      </w:tr>
      <w:tr>
        <w:tc>
          <w:tcPr>
            <w:tcW w:type="dxa" w:w="23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Enhance efficiency</w:t>
            </w:r>
          </w:p>
        </w:tc>
        <w:tc>
          <w:tcPr>
            <w:tcW w:type="dxa" w:w="70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Less double entry and paper lag; role-based dashboards that shorten the path from community signal to facility or district response.</w:t>
            </w:r>
          </w:p>
        </w:tc>
      </w:tr>
      <w:tr>
        <w:tc>
          <w:tcPr>
            <w:tcW w:type="dxa" w:w="23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Foster self-reliance</w:t>
            </w:r>
          </w:p>
        </w:tc>
        <w:tc>
          <w:tcPr>
            <w:tcW w:type="dxa" w:w="70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Handoff package: source documentation, SOPs, training, hosting options, and a costed path to transfer recurrent operations toward domestic systems by project close.</w:t>
            </w:r>
          </w:p>
        </w:tc>
      </w:tr>
      <w:tr>
        <w:tc>
          <w:tcPr>
            <w:tcW w:type="dxa" w:w="23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Advance U.S. interest</w:t>
            </w:r>
          </w:p>
        </w:tc>
        <w:tc>
          <w:tcPr>
            <w:tcW w:type="dxa" w:w="70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Measurable contribution to MOU digital transition: interoperable last-mile data under GOU authority, protecting prior U.S. health investments and strengthening epidemic early warning.</w:t>
            </w:r>
          </w:p>
        </w:tc>
      </w:tr>
    </w:tbl>
    <w:p/>
    <w:p>
      <w:pPr>
        <w:spacing w:before="240" w:after="120" w:line="240" w:lineRule="auto"/>
      </w:pPr>
      <w:r>
        <w:rPr>
          <w:rFonts w:ascii="Times New Roman" w:hAnsi="Times New Roman" w:eastAsia="Times New Roman"/>
          <w:b/>
          <w:i w:val="0"/>
          <w:sz w:val="24"/>
        </w:rPr>
        <w:t>4. Organizational Capacity</w:t>
      </w:r>
    </w:p>
    <w:p>
      <w:pPr>
        <w:pStyle w:val="ListBullet"/>
        <w:spacing w:after="60" w:line="240" w:lineRule="auto"/>
      </w:pPr>
      <w:r>
        <w:rPr>
          <w:rFonts w:ascii="Times New Roman" w:hAnsi="Times New Roman" w:eastAsia="Times New Roman"/>
          <w:b w:val="0"/>
          <w:i w:val="0"/>
          <w:sz w:val="24"/>
        </w:rPr>
        <w:t>Ugandan social enterprise with a functioning medical centre - clinical care, diagnostics, pharmacy, and referral pathways already in daily use.</w:t>
      </w:r>
    </w:p>
    <w:p>
      <w:pPr>
        <w:pStyle w:val="ListBullet"/>
        <w:spacing w:after="60" w:line="240" w:lineRule="auto"/>
      </w:pPr>
      <w:r>
        <w:rPr>
          <w:rFonts w:ascii="Times New Roman" w:hAnsi="Times New Roman" w:eastAsia="Times New Roman"/>
          <w:b w:val="0"/>
          <w:i w:val="0"/>
          <w:sz w:val="24"/>
        </w:rPr>
        <w:t>Active FairBanks Community Reach programmes: maternal and child health, Gericare, chronic disease screening, school and corporate health outreach.</w:t>
      </w:r>
    </w:p>
    <w:p>
      <w:pPr>
        <w:pStyle w:val="ListBullet"/>
        <w:spacing w:after="60" w:line="240" w:lineRule="auto"/>
      </w:pPr>
      <w:r>
        <w:rPr>
          <w:rFonts w:ascii="Times New Roman" w:hAnsi="Times New Roman" w:eastAsia="Times New Roman"/>
          <w:b w:val="0"/>
          <w:i w:val="0"/>
          <w:sz w:val="24"/>
        </w:rPr>
        <w:t>Established CHW/VHT relationships in Kampala-area communities named above - real users, not a greenfield pilot.</w:t>
      </w:r>
    </w:p>
    <w:p>
      <w:pPr>
        <w:pStyle w:val="ListBullet"/>
        <w:spacing w:after="60" w:line="240" w:lineRule="auto"/>
      </w:pPr>
      <w:r>
        <w:rPr>
          <w:rFonts w:ascii="Times New Roman" w:hAnsi="Times New Roman" w:eastAsia="Times New Roman"/>
          <w:b w:val="0"/>
          <w:i w:val="0"/>
          <w:sz w:val="24"/>
        </w:rPr>
        <w:t>Digital health records foundation and pharmacy dispensing data already supporting facility operations.</w:t>
      </w:r>
    </w:p>
    <w:p>
      <w:pPr>
        <w:pStyle w:val="ListBullet"/>
        <w:spacing w:after="60" w:line="240" w:lineRule="auto"/>
      </w:pPr>
      <w:r>
        <w:rPr>
          <w:rFonts w:ascii="Times New Roman" w:hAnsi="Times New Roman" w:eastAsia="Times New Roman"/>
          <w:b w:val="0"/>
          <w:i w:val="0"/>
          <w:sz w:val="24"/>
        </w:rPr>
        <w:t>Research orientation and partnership practice - evidence, ethics, and skills development sit inside the FairBanks community health model.</w:t>
      </w:r>
    </w:p>
    <w:p>
      <w:pPr>
        <w:spacing w:before="240" w:after="120" w:line="240" w:lineRule="auto"/>
      </w:pPr>
      <w:r>
        <w:rPr>
          <w:rFonts w:ascii="Times New Roman" w:hAnsi="Times New Roman" w:eastAsia="Times New Roman"/>
          <w:b/>
          <w:i w:val="0"/>
          <w:sz w:val="24"/>
        </w:rPr>
        <w:t>5. Interoperability Pathway (chart)</w:t>
      </w:r>
    </w:p>
    <w:tbl>
      <w:tblPr>
        <w:tblW w:type="auto" w:w="0"/>
        <w:jc w:val="center"/>
        <w:tblLook w:firstColumn="1" w:firstRow="1" w:lastColumn="0" w:lastRow="0" w:noHBand="0" w:noVBand="1" w:val="04A0"/>
      </w:tblPr>
      <w:tblGrid>
        <w:gridCol w:w="4680"/>
        <w:gridCol w:w="4680"/>
      </w:tblGrid>
      <w:tr>
        <w:tc>
          <w:tcPr>
            <w:tcW w:type="dxa" w:w="3168"/>
            <w:shd w:fill="E8EEEE"/>
            <w:tcBorders>
              <w:top w:val="single" w:sz="4" w:color="888888"/>
              <w:left w:val="single" w:sz="4" w:color="888888"/>
              <w:bottom w:val="single" w:sz="4" w:color="888888"/>
              <w:right w:val="single" w:sz="4" w:color="888888"/>
            </w:tcBorders>
          </w:tcPr>
          <w:p>
            <w:r/>
            <w:r>
              <w:rPr>
                <w:rFonts w:ascii="Times New Roman" w:hAnsi="Times New Roman" w:eastAsia="Times New Roman"/>
                <w:b/>
                <w:i w:val="0"/>
                <w:sz w:val="20"/>
              </w:rPr>
              <w:t>Platform</w:t>
            </w:r>
          </w:p>
        </w:tc>
        <w:tc>
          <w:tcPr>
            <w:tcW w:type="dxa" w:w="6192"/>
            <w:shd w:fill="E8EEEE"/>
            <w:tcBorders>
              <w:top w:val="single" w:sz="4" w:color="888888"/>
              <w:left w:val="single" w:sz="4" w:color="888888"/>
              <w:bottom w:val="single" w:sz="4" w:color="888888"/>
              <w:right w:val="single" w:sz="4" w:color="888888"/>
            </w:tcBorders>
          </w:tcPr>
          <w:p>
            <w:r/>
            <w:r>
              <w:rPr>
                <w:rFonts w:ascii="Times New Roman" w:hAnsi="Times New Roman" w:eastAsia="Times New Roman"/>
                <w:b/>
                <w:i w:val="0"/>
                <w:sz w:val="20"/>
              </w:rPr>
              <w:t>Integration pathway</w:t>
            </w:r>
          </w:p>
        </w:tc>
      </w:tr>
      <w:tr>
        <w:tc>
          <w:tcPr>
            <w:tcW w:type="dxa" w:w="3168"/>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eCHIS</w:t>
            </w:r>
          </w:p>
        </w:tc>
        <w:tc>
          <w:tcPr>
            <w:tcW w:type="dxa" w:w="6192"/>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Household registration, visit logs, referral flags via structured mobile capture</w:t>
            </w:r>
          </w:p>
        </w:tc>
      </w:tr>
      <w:tr>
        <w:tc>
          <w:tcPr>
            <w:tcW w:type="dxa" w:w="3168"/>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Facility EMR (eAfya / ClinicMaster)</w:t>
            </w:r>
          </w:p>
        </w:tc>
        <w:tc>
          <w:tcPr>
            <w:tcW w:type="dxa" w:w="6192"/>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Referral handoff and encounter linkage at FairBanks Medical Centre</w:t>
            </w:r>
          </w:p>
        </w:tc>
      </w:tr>
      <w:tr>
        <w:tc>
          <w:tcPr>
            <w:tcW w:type="dxa" w:w="3168"/>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DHIS2 / eIDSR</w:t>
            </w:r>
          </w:p>
        </w:tc>
        <w:tc>
          <w:tcPr>
            <w:tcW w:type="dxa" w:w="6192"/>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Aggregate exports and surveillance signals for MNCH, immunisation, outbreaks</w:t>
            </w:r>
          </w:p>
        </w:tc>
      </w:tr>
      <w:tr>
        <w:tc>
          <w:tcPr>
            <w:tcW w:type="dxa" w:w="3168"/>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National Data Warehouse</w:t>
            </w:r>
          </w:p>
        </w:tc>
        <w:tc>
          <w:tcPr>
            <w:tcW w:type="dxa" w:w="6192"/>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Standardised JSON/API feeds when national schema is confirmed</w:t>
            </w:r>
          </w:p>
        </w:tc>
      </w:tr>
      <w:tr>
        <w:tc>
          <w:tcPr>
            <w:tcW w:type="dxa" w:w="3168"/>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iHRIS</w:t>
            </w:r>
          </w:p>
        </w:tc>
        <w:tc>
          <w:tcPr>
            <w:tcW w:type="dxa" w:w="6192"/>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CHW/VHT workforce directory alignment where schemas allow</w:t>
            </w:r>
          </w:p>
        </w:tc>
      </w:tr>
    </w:tbl>
    <w:p/>
    <w:p>
      <w:pPr>
        <w:jc w:val="center"/>
      </w:pPr>
      <w:r>
        <w:drawing>
          <wp:inline xmlns:a="http://schemas.openxmlformats.org/drawingml/2006/main" xmlns:pic="http://schemas.openxmlformats.org/drawingml/2006/picture">
            <wp:extent cx="4665106" cy="3108960"/>
            <wp:docPr id="1" name="Picture 1"/>
            <wp:cNvGraphicFramePr>
              <a:graphicFrameLocks noChangeAspect="1"/>
            </wp:cNvGraphicFramePr>
            <a:graphic>
              <a:graphicData uri="http://schemas.openxmlformats.org/drawingml/2006/picture">
                <pic:pic>
                  <pic:nvPicPr>
                    <pic:cNvPr id="0" name="data_flow_iso_labeled_opt.jpg"/>
                    <pic:cNvPicPr/>
                  </pic:nvPicPr>
                  <pic:blipFill>
                    <a:blip r:embed="rId10"/>
                    <a:stretch>
                      <a:fillRect/>
                    </a:stretch>
                  </pic:blipFill>
                  <pic:spPr>
                    <a:xfrm>
                      <a:off x="0" y="0"/>
                      <a:ext cx="4665106" cy="3108960"/>
                    </a:xfrm>
                    <a:prstGeom prst="rect"/>
                  </pic:spPr>
                </pic:pic>
              </a:graphicData>
            </a:graphic>
          </wp:inline>
        </w:drawing>
      </w:r>
    </w:p>
    <w:p>
      <w:pPr>
        <w:spacing w:before="0" w:after="160" w:line="240" w:lineRule="auto"/>
        <w:jc w:val="center"/>
      </w:pPr>
      <w:r>
        <w:rPr>
          <w:rFonts w:ascii="Times New Roman" w:hAnsi="Times New Roman" w:eastAsia="Times New Roman"/>
          <w:b w:val="0"/>
          <w:i/>
          <w:sz w:val="20"/>
        </w:rPr>
        <w:t>Figure 1. Community cascade to FCHIP to national digital health systems (chart; excluded from page limit).</w:t>
      </w:r>
    </w:p>
    <w:p>
      <w:pPr>
        <w:spacing w:before="240" w:after="120" w:line="240" w:lineRule="auto"/>
      </w:pPr>
      <w:r>
        <w:rPr>
          <w:rFonts w:ascii="Times New Roman" w:hAnsi="Times New Roman" w:eastAsia="Times New Roman"/>
          <w:b/>
          <w:i w:val="0"/>
          <w:sz w:val="24"/>
        </w:rPr>
        <w:t>6. Alignment with Addendum E Guiding Principles (chart)</w:t>
      </w:r>
    </w:p>
    <w:tbl>
      <w:tblPr>
        <w:tblW w:type="auto" w:w="0"/>
        <w:jc w:val="center"/>
        <w:tblLook w:firstColumn="1" w:firstRow="1" w:lastColumn="0" w:lastRow="0" w:noHBand="0" w:noVBand="1" w:val="04A0"/>
      </w:tblPr>
      <w:tblGrid>
        <w:gridCol w:w="4680"/>
        <w:gridCol w:w="4680"/>
      </w:tblGrid>
      <w:tr>
        <w:tc>
          <w:tcPr>
            <w:tcW w:type="dxa" w:w="3168"/>
            <w:shd w:fill="E8EEEE"/>
            <w:tcBorders>
              <w:top w:val="single" w:sz="4" w:color="888888"/>
              <w:left w:val="single" w:sz="4" w:color="888888"/>
              <w:bottom w:val="single" w:sz="4" w:color="888888"/>
              <w:right w:val="single" w:sz="4" w:color="888888"/>
            </w:tcBorders>
          </w:tcPr>
          <w:p>
            <w:r/>
            <w:r>
              <w:rPr>
                <w:rFonts w:ascii="Times New Roman" w:hAnsi="Times New Roman" w:eastAsia="Times New Roman"/>
                <w:b/>
                <w:i w:val="0"/>
                <w:sz w:val="20"/>
              </w:rPr>
              <w:t>Principle</w:t>
            </w:r>
          </w:p>
        </w:tc>
        <w:tc>
          <w:tcPr>
            <w:tcW w:type="dxa" w:w="6192"/>
            <w:shd w:fill="E8EEEE"/>
            <w:tcBorders>
              <w:top w:val="single" w:sz="4" w:color="888888"/>
              <w:left w:val="single" w:sz="4" w:color="888888"/>
              <w:bottom w:val="single" w:sz="4" w:color="888888"/>
              <w:right w:val="single" w:sz="4" w:color="888888"/>
            </w:tcBorders>
          </w:tcPr>
          <w:p>
            <w:r/>
            <w:r>
              <w:rPr>
                <w:rFonts w:ascii="Times New Roman" w:hAnsi="Times New Roman" w:eastAsia="Times New Roman"/>
                <w:b/>
                <w:i w:val="0"/>
                <w:sz w:val="20"/>
              </w:rPr>
              <w:t>How FairBanks responds</w:t>
            </w:r>
          </w:p>
        </w:tc>
      </w:tr>
      <w:tr>
        <w:tc>
          <w:tcPr>
            <w:tcW w:type="dxa" w:w="3168"/>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Sustainability &amp; country ownership</w:t>
            </w:r>
          </w:p>
        </w:tc>
        <w:tc>
          <w:tcPr>
            <w:tcW w:type="dxa" w:w="6192"/>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Design for MoH/NDHA alignment and staged transfer of operations</w:t>
            </w:r>
          </w:p>
        </w:tc>
      </w:tr>
      <w:tr>
        <w:tc>
          <w:tcPr>
            <w:tcW w:type="dxa" w:w="3168"/>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Protect essential services</w:t>
            </w:r>
          </w:p>
        </w:tc>
        <w:tc>
          <w:tcPr>
            <w:tcW w:type="dxa" w:w="6192"/>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Digital workflows reinforce HIV, TB, malaria, MNCH, immunisation</w:t>
            </w:r>
          </w:p>
        </w:tc>
      </w:tr>
      <w:tr>
        <w:tc>
          <w:tcPr>
            <w:tcW w:type="dxa" w:w="3168"/>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Data for action &amp; accountability</w:t>
            </w:r>
          </w:p>
        </w:tc>
        <w:tc>
          <w:tcPr>
            <w:tcW w:type="dxa" w:w="6192"/>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Quality data into GOU systems - used for decisions, not parallel burden</w:t>
            </w:r>
          </w:p>
        </w:tc>
      </w:tr>
      <w:tr>
        <w:tc>
          <w:tcPr>
            <w:tcW w:type="dxa" w:w="3168"/>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Integrated, people-centred care</w:t>
            </w:r>
          </w:p>
        </w:tc>
        <w:tc>
          <w:tcPr>
            <w:tcW w:type="dxa" w:w="6192"/>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One community-to-facility loop; less fragmentation</w:t>
            </w:r>
          </w:p>
        </w:tc>
      </w:tr>
      <w:tr>
        <w:tc>
          <w:tcPr>
            <w:tcW w:type="dxa" w:w="3168"/>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Local partnerships</w:t>
            </w:r>
          </w:p>
        </w:tc>
        <w:tc>
          <w:tcPr>
            <w:tcW w:type="dxa" w:w="6192"/>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Government, CHWs/VHTs, CBOs, academic and NGO partners</w:t>
            </w:r>
          </w:p>
        </w:tc>
      </w:tr>
      <w:tr>
        <w:tc>
          <w:tcPr>
            <w:tcW w:type="dxa" w:w="3168"/>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Evidence-based &amp; context fit</w:t>
            </w:r>
          </w:p>
        </w:tc>
        <w:tc>
          <w:tcPr>
            <w:tcW w:type="dxa" w:w="6192"/>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Pilot in live catchments; measure; refine before scale</w:t>
            </w:r>
          </w:p>
        </w:tc>
      </w:tr>
      <w:tr>
        <w:tc>
          <w:tcPr>
            <w:tcW w:type="dxa" w:w="3168"/>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Oversight &amp; coordination</w:t>
            </w:r>
          </w:p>
        </w:tc>
        <w:tc>
          <w:tcPr>
            <w:tcW w:type="dxa" w:w="6192"/>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Align with MoH priorities and designated review platforms</w:t>
            </w:r>
          </w:p>
        </w:tc>
      </w:tr>
    </w:tbl>
    <w:p/>
    <w:p>
      <w:pPr>
        <w:spacing w:before="240" w:after="120" w:line="240" w:lineRule="auto"/>
      </w:pPr>
      <w:r>
        <w:rPr>
          <w:rFonts w:ascii="Times New Roman" w:hAnsi="Times New Roman" w:eastAsia="Times New Roman"/>
          <w:b/>
          <w:i w:val="0"/>
          <w:sz w:val="24"/>
        </w:rPr>
        <w:t>7. List of Partner Roles and Responsibilities (preliminary)</w:t>
      </w:r>
    </w:p>
    <w:p>
      <w:pPr>
        <w:spacing w:before="0" w:after="120" w:line="240" w:lineRule="auto"/>
        <w:jc w:val="left"/>
      </w:pPr>
      <w:r>
        <w:rPr>
          <w:rFonts w:ascii="Times New Roman" w:hAnsi="Times New Roman" w:eastAsia="Times New Roman"/>
          <w:b w:val="0"/>
          <w:i w:val="0"/>
          <w:sz w:val="24"/>
        </w:rPr>
        <w:t>Partners below are preliminary characterisations for Phase 1. Roles, contacts, and any subrecipient federal-share splits will be refined in Phase 2 / co-design if invited. At SOI stage, FairBanks Medical Centre is proposed as prime applicant.</w:t>
      </w:r>
    </w:p>
    <w:tbl>
      <w:tblPr>
        <w:tblW w:type="auto" w:w="0"/>
        <w:jc w:val="center"/>
        <w:tblLook w:firstColumn="1" w:firstRow="1" w:lastColumn="0" w:lastRow="0" w:noHBand="0" w:noVBand="1" w:val="04A0"/>
      </w:tblPr>
      <w:tblGrid>
        <w:gridCol w:w="4680"/>
        <w:gridCol w:w="4680"/>
      </w:tblGrid>
      <w:tr>
        <w:tc>
          <w:tcPr>
            <w:tcW w:type="dxa" w:w="3456"/>
            <w:shd w:fill="E8EEEE"/>
            <w:tcBorders>
              <w:top w:val="single" w:sz="4" w:color="888888"/>
              <w:left w:val="single" w:sz="4" w:color="888888"/>
              <w:bottom w:val="single" w:sz="4" w:color="888888"/>
              <w:right w:val="single" w:sz="4" w:color="888888"/>
            </w:tcBorders>
          </w:tcPr>
          <w:p>
            <w:r/>
            <w:r>
              <w:rPr>
                <w:rFonts w:ascii="Times New Roman" w:hAnsi="Times New Roman" w:eastAsia="Times New Roman"/>
                <w:b/>
                <w:i w:val="0"/>
                <w:sz w:val="20"/>
              </w:rPr>
              <w:t>Partner</w:t>
            </w:r>
          </w:p>
        </w:tc>
        <w:tc>
          <w:tcPr>
            <w:tcW w:type="dxa" w:w="5904"/>
            <w:shd w:fill="E8EEEE"/>
            <w:tcBorders>
              <w:top w:val="single" w:sz="4" w:color="888888"/>
              <w:left w:val="single" w:sz="4" w:color="888888"/>
              <w:bottom w:val="single" w:sz="4" w:color="888888"/>
              <w:right w:val="single" w:sz="4" w:color="888888"/>
            </w:tcBorders>
          </w:tcPr>
          <w:p>
            <w:r/>
            <w:r>
              <w:rPr>
                <w:rFonts w:ascii="Times New Roman" w:hAnsi="Times New Roman" w:eastAsia="Times New Roman"/>
                <w:b/>
                <w:i w:val="0"/>
                <w:sz w:val="20"/>
              </w:rPr>
              <w:t>Proposed role (summary)</w:t>
            </w:r>
          </w:p>
        </w:tc>
      </w:tr>
      <w:tr>
        <w:tc>
          <w:tcPr>
            <w:tcW w:type="dxa" w:w="34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Ministry of Health (digital health / community health)</w:t>
            </w:r>
          </w:p>
        </w:tc>
        <w:tc>
          <w:tcPr>
            <w:tcW w:type="dxa" w:w="59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Alignment with NDHA, eCHIS, and national reporting; review of interfaces and transfer plan</w:t>
            </w:r>
          </w:p>
        </w:tc>
      </w:tr>
      <w:tr>
        <w:tc>
          <w:tcPr>
            <w:tcW w:type="dxa" w:w="34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District health teams (pilot geography)</w:t>
            </w:r>
          </w:p>
        </w:tc>
        <w:tc>
          <w:tcPr>
            <w:tcW w:type="dxa" w:w="59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Aggregate reporting validation, dashboard use, readiness dialogue</w:t>
            </w:r>
          </w:p>
        </w:tc>
      </w:tr>
      <w:tr>
        <w:tc>
          <w:tcPr>
            <w:tcW w:type="dxa" w:w="34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CHWs, VHTs, and community leaders</w:t>
            </w:r>
          </w:p>
        </w:tc>
        <w:tc>
          <w:tcPr>
            <w:tcW w:type="dxa" w:w="59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Primary data partners; co-design of forms and alerts</w:t>
            </w:r>
          </w:p>
        </w:tc>
      </w:tr>
      <w:tr>
        <w:tc>
          <w:tcPr>
            <w:tcW w:type="dxa" w:w="34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Academic partners (to be confirmed at Phase 2)</w:t>
            </w:r>
          </w:p>
        </w:tc>
        <w:tc>
          <w:tcPr>
            <w:tcW w:type="dxa" w:w="59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Evaluation support and interoperability testing</w:t>
            </w:r>
          </w:p>
        </w:tc>
      </w:tr>
      <w:tr>
        <w:tc>
          <w:tcPr>
            <w:tcW w:type="dxa" w:w="34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NGOs / CBOs collaborating with FairBanks Community Reach</w:t>
            </w:r>
          </w:p>
        </w:tc>
        <w:tc>
          <w:tcPr>
            <w:tcW w:type="dxa" w:w="59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Outreach coordination and community engagement</w:t>
            </w:r>
          </w:p>
        </w:tc>
      </w:tr>
    </w:tbl>
    <w:p/>
    <w:p>
      <w:pPr>
        <w:spacing w:before="240" w:after="120" w:line="240" w:lineRule="auto"/>
      </w:pPr>
      <w:r>
        <w:rPr>
          <w:rFonts w:ascii="Times New Roman" w:hAnsi="Times New Roman" w:eastAsia="Times New Roman"/>
          <w:b/>
          <w:i w:val="0"/>
          <w:sz w:val="24"/>
        </w:rPr>
        <w:t>8. Resource Contributions and/or Cost Share</w:t>
      </w:r>
    </w:p>
    <w:p>
      <w:pPr>
        <w:spacing w:before="0" w:after="120" w:line="240" w:lineRule="auto"/>
        <w:jc w:val="left"/>
      </w:pPr>
      <w:r>
        <w:rPr>
          <w:rFonts w:ascii="Times New Roman" w:hAnsi="Times New Roman" w:eastAsia="Times New Roman"/>
          <w:b w:val="0"/>
          <w:i w:val="0"/>
          <w:sz w:val="24"/>
        </w:rPr>
        <w:t>No cost share is proposed at the SOI stage. FairBanks will continue operating its medical centre and community outreach as complementary organisational activity. Opportunities for in-kind or matching contributions can be discussed during co-design or Phase 2 if invited.</w:t>
      </w:r>
    </w:p>
    <w:p>
      <w:pPr>
        <w:spacing w:before="240" w:after="120" w:line="240" w:lineRule="auto"/>
      </w:pPr>
      <w:r>
        <w:rPr>
          <w:rFonts w:ascii="Times New Roman" w:hAnsi="Times New Roman" w:eastAsia="Times New Roman"/>
          <w:b/>
          <w:i w:val="0"/>
          <w:sz w:val="24"/>
        </w:rPr>
        <w:t>9. Readiness for Phase 2</w:t>
      </w:r>
    </w:p>
    <w:p>
      <w:pPr>
        <w:spacing w:before="0" w:after="120" w:line="240" w:lineRule="auto"/>
        <w:jc w:val="left"/>
      </w:pPr>
      <w:r>
        <w:rPr>
          <w:rFonts w:ascii="Times New Roman" w:hAnsi="Times New Roman" w:eastAsia="Times New Roman"/>
          <w:b w:val="0"/>
          <w:i w:val="0"/>
          <w:sz w:val="24"/>
        </w:rPr>
        <w:t>This Statement of Interest confirms FairBanks' intent to advance Track 2, Objective 4 with a community-rooted, interoperable, government-aligned digital health proposal. We seek invitation to Phase 2 (full proposal) and/or consultative program design, where we will detail workplans, budgets, M&amp;E, partnership letters, and a clear transition of staffing and recurrent costs toward sustainable Ugandan ownership.</w:t>
      </w:r>
    </w:p>
    <w:p>
      <w:pPr>
        <w:spacing w:before="0" w:after="80" w:line="240" w:lineRule="auto"/>
        <w:jc w:val="left"/>
      </w:pPr>
      <w:r>
        <w:rPr>
          <w:rFonts w:ascii="Times New Roman" w:hAnsi="Times New Roman" w:eastAsia="Times New Roman"/>
          <w:b w:val="0"/>
          <w:i/>
          <w:sz w:val="20"/>
        </w:rPr>
        <w:t>References: DFOP0017890 APS (Phase 1 SOI format) and Addendum E (Uganda). Suggested upload name: FairBanks - SOI - Addendum E.pdf</w:t>
      </w:r>
    </w:p>
    <w:p>
      <w:pPr>
        <w:spacing w:before="0" w:after="40" w:line="240" w:lineRule="auto"/>
        <w:jc w:val="left"/>
      </w:pPr>
      <w:r>
        <w:rPr>
          <w:rFonts w:ascii="Times New Roman" w:hAnsi="Times New Roman" w:eastAsia="Times New Roman"/>
          <w:b w:val="0"/>
          <w:i w:val="0"/>
          <w:sz w:val="20"/>
        </w:rPr>
        <w:t>https://opportunitiesforyouth.org/2026/06/15/u-s-department-of-state-launches-up-to-60-million-funding-opportunity-to-strengthen-ugandas-health-system-through-the-health-foreign-assistance-mou-implementation-plan/</w:t>
      </w:r>
    </w:p>
    <w:p>
      <w:pPr>
        <w:spacing w:before="0" w:after="160" w:line="240" w:lineRule="auto"/>
        <w:jc w:val="left"/>
      </w:pPr>
      <w:r>
        <w:rPr>
          <w:rFonts w:ascii="Times New Roman" w:hAnsi="Times New Roman" w:eastAsia="Times New Roman"/>
          <w:b w:val="0"/>
          <w:i w:val="0"/>
          <w:sz w:val="20"/>
        </w:rPr>
        <w:t>https://simpler.grants.gov/opportunity/44a573b8-d46a-4cec-8c84-f319cd1cc1b6</w:t>
      </w:r>
    </w:p>
    <w:p>
      <w:pPr>
        <w:spacing w:before="0" w:after="120" w:line="240" w:lineRule="auto"/>
        <w:jc w:val="center"/>
      </w:pPr>
      <w:r>
        <w:rPr>
          <w:rFonts w:ascii="Times New Roman" w:hAnsi="Times New Roman" w:eastAsia="Times New Roman"/>
          <w:b/>
          <w:i/>
          <w:sz w:val="24"/>
        </w:rPr>
        <w:t>Your health, our mission.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sz w:val="20"/>
      </w:rPr>
      <w:t xml:space="preserve">Page </w:t>
    </w:r>
    <w:r>
      <w:rPr>
        <w:rFonts w:ascii="Times New Roman" w:hAnsi="Times New Roman" w:eastAsia="Times New Roman"/>
        <w:b w:val="0"/>
        <w:i w:val="0"/>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