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shd w:fill="F8F5F0" w:val="clear"/>
          </w:tcPr>
          <w:p>
            <w:r>
              <w:rPr>
                <w:rFonts w:ascii="Calibri" w:hAnsi="Calibri" w:eastAsia="Calibri"/>
                <w:b/>
                <w:color w:val="0A3A52"/>
                <w:sz w:val="26"/>
              </w:rPr>
              <w:t>RACHEAL NABUKEERA SEKAGIRI</w:t>
            </w:r>
          </w:p>
          <w:p>
            <w:r>
              <w:rPr>
                <w:rFonts w:ascii="Calibri" w:hAnsi="Calibri" w:eastAsia="Calibri"/>
                <w:b w:val="0"/>
                <w:color w:val="1F6F78"/>
                <w:sz w:val="16"/>
              </w:rPr>
              <w:t>Senior Human Resource Executive  ·  Human Capital Strategist  ·  Organisational Development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5B6B7C"/>
                <w:sz w:val="16"/>
              </w:rPr>
              <w:t>Kampala, Uganda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5B6B7C"/>
                <w:sz w:val="16"/>
              </w:rPr>
              <w:t>+256 772 849258  ·  +256 701 849258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5B6B7C"/>
                <w:sz w:val="16"/>
              </w:rPr>
              <w:t>info@fairbanksmedicalcentre.org  ·  www.fairbanksmedicalcentre.org</w:t>
            </w:r>
          </w:p>
        </w:tc>
        <w:tc>
          <w:tcPr>
            <w:tcW w:type="dxa" w:w="5440"/>
            <w:shd w:fill="F8F5F0" w:val="clear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squar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40"/>
        <w:pBdr>
          <w:bottom w:val="single" w:sz="8" w:space="1" w:color="B8953E"/>
        </w:pBdr>
      </w:pPr>
      <w:r>
        <w:rPr>
          <w:rFonts w:ascii="Calibri" w:hAnsi="Calibri" w:eastAsia="Calibri"/>
          <w:b/>
          <w:color w:val="0A3A52"/>
          <w:sz w:val="18"/>
        </w:rPr>
        <w:t>PROFILE</w:t>
      </w:r>
    </w:p>
    <w:p>
      <w:pPr>
        <w:spacing w:after="40"/>
        <w:jc w:val="both"/>
      </w:pPr>
      <w:r>
        <w:rPr>
          <w:rFonts w:ascii="Calibri" w:hAnsi="Calibri" w:eastAsia="Calibri"/>
          <w:b w:val="0"/>
          <w:color w:val="1F2A37"/>
          <w:sz w:val="17"/>
        </w:rPr>
        <w:t>Strategic HR executive with nearly 30 years of progressive experience and over 18 years in executive Human Resource leadership. Aligns people, performance and organisational goals across complex institutions.</w:t>
      </w:r>
    </w:p>
    <w:p>
      <w:pPr>
        <w:spacing w:after="40"/>
        <w:jc w:val="both"/>
      </w:pPr>
      <w:r>
        <w:rPr>
          <w:rFonts w:ascii="Calibri" w:hAnsi="Calibri" w:eastAsia="Calibri"/>
          <w:b w:val="0"/>
          <w:color w:val="1F2A37"/>
          <w:sz w:val="17"/>
        </w:rPr>
        <w:t>Founder &amp; Managing Director, FairBanks Medical Centre Ltd. Formerly directed Group HR for 2,000+ employees across 50+ departments. PhD Candidate (Management) researching AI/ML prediction of occupational burnout among medical practitioners. Member, Federation of Uganda Employers (FUE).</w:t>
      </w:r>
    </w:p>
    <w:p>
      <w:pPr>
        <w:spacing w:before="120" w:after="40"/>
        <w:pBdr>
          <w:bottom w:val="single" w:sz="8" w:space="1" w:color="B8953E"/>
        </w:pBdr>
      </w:pPr>
      <w:r>
        <w:rPr>
          <w:rFonts w:ascii="Calibri" w:hAnsi="Calibri" w:eastAsia="Calibri"/>
          <w:b/>
          <w:color w:val="0A3A52"/>
          <w:sz w:val="18"/>
        </w:rPr>
        <w:t>HIGHLIGHTS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color w:val="1F2A37"/>
          <w:sz w:val="16"/>
        </w:rPr>
        <w:t>Nearly 30 years in HR and executive management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color w:val="1F2A37"/>
          <w:sz w:val="16"/>
        </w:rPr>
        <w:t>18+ years in executive Human Resource leadership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color w:val="1F2A37"/>
          <w:sz w:val="16"/>
        </w:rPr>
        <w:t>Strategic HR leadership for 2,000+ employees across 50+ units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color w:val="1F2A37"/>
          <w:sz w:val="16"/>
        </w:rPr>
        <w:t>Founder &amp; MD, FairBanks Medical Centre Ltd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color w:val="1F2A37"/>
          <w:sz w:val="16"/>
        </w:rPr>
        <w:t>Social enterprise reach: 10,000+ beneficiaries</w:t>
      </w:r>
    </w:p>
    <w:p>
      <w:pPr>
        <w:spacing w:before="120" w:after="40"/>
        <w:pBdr>
          <w:bottom w:val="single" w:sz="8" w:space="1" w:color="B8953E"/>
        </w:pBdr>
      </w:pPr>
      <w:r>
        <w:rPr>
          <w:rFonts w:ascii="Calibri" w:hAnsi="Calibri" w:eastAsia="Calibri"/>
          <w:b/>
          <w:color w:val="0A3A52"/>
          <w:sz w:val="18"/>
        </w:rPr>
        <w:t>COMPETENCIES</w:t>
      </w:r>
    </w:p>
    <w:p>
      <w:pPr>
        <w:spacing w:after="40"/>
        <w:jc w:val="both"/>
      </w:pPr>
      <w:r>
        <w:rPr>
          <w:rFonts w:ascii="Calibri" w:hAnsi="Calibri" w:eastAsia="Calibri"/>
          <w:b w:val="0"/>
          <w:color w:val="1F2A37"/>
          <w:sz w:val="16"/>
        </w:rPr>
        <w:t>HR Strategy  ·  Organisational Development  ·  Talent Management  ·  Workforce Planning  ·  Change Management  ·  Performance Management  ·  Employee Relations  ·  Corporate Governance  ·  Leadership Development  ·  HR Analytics / HRIS</w:t>
      </w:r>
    </w:p>
    <w:p>
      <w:pPr>
        <w:spacing w:before="120" w:after="40"/>
        <w:pBdr>
          <w:bottom w:val="single" w:sz="8" w:space="1" w:color="B8953E"/>
        </w:pBdr>
      </w:pPr>
      <w:r>
        <w:rPr>
          <w:rFonts w:ascii="Calibri" w:hAnsi="Calibri" w:eastAsia="Calibri"/>
          <w:b/>
          <w:color w:val="0A3A52"/>
          <w:sz w:val="18"/>
        </w:rPr>
        <w:t>EXPERIENCE</w:t>
      </w:r>
    </w:p>
    <w:p>
      <w:pPr>
        <w:spacing w:before="60"/>
      </w:pPr>
      <w:r>
        <w:rPr>
          <w:rFonts w:ascii="Calibri" w:hAnsi="Calibri" w:eastAsia="Calibri"/>
          <w:b/>
          <w:color w:val="0A3A52"/>
          <w:sz w:val="18"/>
        </w:rPr>
        <w:t>Founder, Managing Director &amp; Executive HR Leader</w:t>
      </w:r>
    </w:p>
    <w:p>
      <w:r>
        <w:rPr>
          <w:rFonts w:ascii="Calibri" w:hAnsi="Calibri" w:eastAsia="Calibri"/>
          <w:b w:val="0"/>
          <w:color w:val="1F6F78"/>
          <w:sz w:val="16"/>
        </w:rPr>
        <w:t>FairBanks Medical Centre Ltd  |  2025 - Present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color w:val="1F2A37"/>
          <w:sz w:val="16"/>
        </w:rPr>
        <w:t>Lead strategy, governance, HR systems and institutional growth.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color w:val="1F2A37"/>
          <w:sz w:val="16"/>
        </w:rPr>
        <w:t>Founded FairBanks Social Enterprise Initiative (10,000+ beneficiaries).</w:t>
      </w:r>
    </w:p>
    <w:p>
      <w:pPr>
        <w:spacing w:before="60"/>
      </w:pPr>
      <w:r>
        <w:rPr>
          <w:rFonts w:ascii="Calibri" w:hAnsi="Calibri" w:eastAsia="Calibri"/>
          <w:b/>
          <w:color w:val="0A3A52"/>
          <w:sz w:val="18"/>
        </w:rPr>
        <w:t>Group Human Resource &amp; Administration Manager</w:t>
      </w:r>
    </w:p>
    <w:p>
      <w:r>
        <w:rPr>
          <w:rFonts w:ascii="Calibri" w:hAnsi="Calibri" w:eastAsia="Calibri"/>
          <w:b w:val="0"/>
          <w:color w:val="1F6F78"/>
          <w:sz w:val="16"/>
        </w:rPr>
        <w:t>Norvik Group  |  Jul 2016 - Feb 2026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color w:val="1F2A37"/>
          <w:sz w:val="16"/>
        </w:rPr>
        <w:t>Directed Group HR strategy for 2,000+ employees across 50+ units.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color w:val="1F2A37"/>
          <w:sz w:val="16"/>
        </w:rPr>
        <w:t>Led workforce planning, restructuring, succession and leadership development.</w:t>
      </w:r>
    </w:p>
    <w:p>
      <w:pPr>
        <w:spacing w:before="60"/>
      </w:pPr>
      <w:r>
        <w:rPr>
          <w:rFonts w:ascii="Calibri" w:hAnsi="Calibri" w:eastAsia="Calibri"/>
          <w:b/>
          <w:color w:val="0A3A52"/>
          <w:sz w:val="18"/>
        </w:rPr>
        <w:t>Human Resource &amp; Administration Manager</w:t>
      </w:r>
    </w:p>
    <w:p>
      <w:r>
        <w:rPr>
          <w:rFonts w:ascii="Calibri" w:hAnsi="Calibri" w:eastAsia="Calibri"/>
          <w:b w:val="0"/>
          <w:color w:val="1F6F78"/>
          <w:sz w:val="16"/>
        </w:rPr>
        <w:t>Norvik Hospital Ltd  |  Sep 2013 - 2016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color w:val="1F2A37"/>
          <w:sz w:val="16"/>
        </w:rPr>
        <w:t>Led recruitment, employee relations, performance systems and HR policy.</w:t>
      </w:r>
    </w:p>
    <w:p>
      <w:pPr>
        <w:spacing w:before="60"/>
      </w:pPr>
      <w:r>
        <w:rPr>
          <w:rFonts w:ascii="Calibri" w:hAnsi="Calibri" w:eastAsia="Calibri"/>
          <w:b/>
          <w:color w:val="0A3A52"/>
          <w:sz w:val="18"/>
        </w:rPr>
        <w:t>Human Resource Manager</w:t>
      </w:r>
    </w:p>
    <w:p>
      <w:r>
        <w:rPr>
          <w:rFonts w:ascii="Calibri" w:hAnsi="Calibri" w:eastAsia="Calibri"/>
          <w:b w:val="0"/>
          <w:color w:val="1F6F78"/>
          <w:sz w:val="16"/>
        </w:rPr>
        <w:t>St. Catherine's Hospital  |  2007 - 2010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color w:val="1F2A37"/>
          <w:sz w:val="16"/>
        </w:rPr>
        <w:t>Managed HR operations, welfare, labour compliance and staff engagement.</w:t>
      </w:r>
    </w:p>
    <w:p>
      <w:pPr>
        <w:spacing w:after="40"/>
        <w:jc w:val="both"/>
      </w:pPr>
      <w:r>
        <w:rPr>
          <w:rFonts w:ascii="Calibri" w:hAnsi="Calibri" w:eastAsia="Calibri"/>
          <w:b w:val="0"/>
          <w:color w:val="5B6B7C"/>
          <w:sz w:val="15"/>
        </w:rPr>
        <w:t>Earlier roles: Health Management Systems Administrator, St. Catherine's Hospital (2010-2013); Human Resource Assistant, E Power Limited (1997-2000).</w:t>
      </w:r>
    </w:p>
    <w:p>
      <w:pPr>
        <w:spacing w:before="120" w:after="40"/>
        <w:pBdr>
          <w:bottom w:val="single" w:sz="8" w:space="1" w:color="B8953E"/>
        </w:pBdr>
      </w:pPr>
      <w:r>
        <w:rPr>
          <w:rFonts w:ascii="Calibri" w:hAnsi="Calibri" w:eastAsia="Calibri"/>
          <w:b/>
          <w:color w:val="0A3A52"/>
          <w:sz w:val="18"/>
        </w:rPr>
        <w:t>EDUCATION</w:t>
      </w:r>
    </w:p>
    <w:p>
      <w:pPr>
        <w:spacing w:after="40"/>
        <w:jc w:val="both"/>
      </w:pPr>
      <w:r>
        <w:rPr>
          <w:rFonts w:ascii="Calibri" w:hAnsi="Calibri" w:eastAsia="Calibri"/>
          <w:b w:val="0"/>
          <w:color w:val="1F2A37"/>
          <w:sz w:val="16"/>
        </w:rPr>
        <w:t>PhD in Management (Ongoing) — Uganda Christian University. Research: Machine learning prediction of occupational burnout among medical practitioners</w:t>
      </w:r>
    </w:p>
    <w:p>
      <w:pPr>
        <w:spacing w:after="40"/>
        <w:jc w:val="both"/>
      </w:pPr>
      <w:r>
        <w:rPr>
          <w:rFonts w:ascii="Calibri" w:hAnsi="Calibri" w:eastAsia="Calibri"/>
          <w:b w:val="0"/>
          <w:color w:val="1F2A37"/>
          <w:sz w:val="16"/>
        </w:rPr>
        <w:t>Master of Social Sector Planning and Management — Makerere University</w:t>
      </w:r>
    </w:p>
    <w:p>
      <w:pPr>
        <w:spacing w:after="40"/>
        <w:jc w:val="both"/>
      </w:pPr>
      <w:r>
        <w:rPr>
          <w:rFonts w:ascii="Calibri" w:hAnsi="Calibri" w:eastAsia="Calibri"/>
          <w:b w:val="0"/>
          <w:color w:val="1F2A37"/>
          <w:sz w:val="16"/>
        </w:rPr>
        <w:t>Bachelor of Arts in Social Sciences — Makerere University</w:t>
      </w:r>
    </w:p>
    <w:p>
      <w:pPr>
        <w:spacing w:before="120" w:after="40"/>
        <w:pBdr>
          <w:bottom w:val="single" w:sz="8" w:space="1" w:color="B8953E"/>
        </w:pBdr>
      </w:pPr>
      <w:r>
        <w:rPr>
          <w:rFonts w:ascii="Calibri" w:hAnsi="Calibri" w:eastAsia="Calibri"/>
          <w:b/>
          <w:color w:val="0A3A52"/>
          <w:sz w:val="18"/>
        </w:rPr>
        <w:t>TECHNICAL &amp; ADDITIONAL</w:t>
      </w:r>
    </w:p>
    <w:p>
      <w:pPr>
        <w:spacing w:after="40"/>
        <w:jc w:val="both"/>
      </w:pPr>
      <w:r>
        <w:rPr>
          <w:rFonts w:ascii="Calibri" w:hAnsi="Calibri" w:eastAsia="Calibri"/>
          <w:b w:val="0"/>
          <w:color w:val="1F2A37"/>
          <w:sz w:val="16"/>
        </w:rPr>
        <w:t>Microsoft Office  ·  HRIS  ·  ERP  ·  HR Analytics  ·  Performance systems  ·  Executive reporting  ·  AI applications in HR</w:t>
      </w:r>
    </w:p>
    <w:p>
      <w:pPr>
        <w:spacing w:after="40"/>
        <w:jc w:val="both"/>
      </w:pPr>
      <w:r>
        <w:rPr>
          <w:rFonts w:ascii="Calibri" w:hAnsi="Calibri" w:eastAsia="Calibri"/>
          <w:b w:val="0"/>
          <w:color w:val="1F2A37"/>
          <w:sz w:val="16"/>
        </w:rPr>
        <w:t>Human Resource Analytics  ·  Artificial Intelligence  ·  Organisational Behaviour  ·  Occupational Burnout  ·  Employee Wellbeing</w:t>
      </w:r>
    </w:p>
    <w:p>
      <w:pPr>
        <w:spacing w:after="40"/>
        <w:jc w:val="both"/>
      </w:pPr>
      <w:r>
        <w:rPr>
          <w:rFonts w:ascii="Calibri" w:hAnsi="Calibri" w:eastAsia="Calibri"/>
          <w:b w:val="0"/>
          <w:color w:val="5B6B7C"/>
          <w:sz w:val="16"/>
        </w:rPr>
        <w:t>Member, Federation of Uganda Employers (FUE)  ·  English (Fluent)  ·  Luganda (Fluent)  ·  References available on request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