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eastAsia="Times New Roman"/>
          <w:b/>
          <w:i w:val="0"/>
          <w:sz w:val="22"/>
        </w:rPr>
        <w:t>U.S. Department of State / GHSD — Advancing Global Health (DFOP0017890)</w:t>
      </w:r>
    </w:p>
    <w:p>
      <w:pPr>
        <w:spacing w:before="0" w:after="80" w:line="240" w:lineRule="auto"/>
        <w:jc w:val="center"/>
      </w:pPr>
      <w:r>
        <w:rPr>
          <w:rFonts w:ascii="Times New Roman" w:hAnsi="Times New Roman" w:eastAsia="Times New Roman"/>
          <w:b/>
          <w:i w:val="0"/>
          <w:sz w:val="28"/>
        </w:rPr>
        <w:t>Statement of Interest — Phase 1</w:t>
      </w:r>
    </w:p>
    <w:p>
      <w:pPr>
        <w:spacing w:before="0" w:after="80" w:line="240" w:lineRule="auto"/>
        <w:jc w:val="center"/>
      </w:pPr>
      <w:r>
        <w:rPr>
          <w:rFonts w:ascii="Times New Roman" w:hAnsi="Times New Roman" w:eastAsia="Times New Roman"/>
          <w:b/>
          <w:i/>
          <w:sz w:val="24"/>
        </w:rPr>
        <w:t>FairBanks Medical Centre  ·  FairBanks Community Reach  ·  FCHIP</w:t>
      </w:r>
    </w:p>
    <w:p>
      <w:pPr>
        <w:spacing w:before="0" w:after="80" w:line="240" w:lineRule="auto"/>
        <w:jc w:val="center"/>
      </w:pPr>
      <w:r>
        <w:rPr>
          <w:rFonts w:ascii="Times New Roman" w:hAnsi="Times New Roman" w:eastAsia="Times New Roman"/>
          <w:b w:val="0"/>
          <w:i/>
          <w:sz w:val="22"/>
        </w:rPr>
        <w:t>Track 2, Objective 4: Strengthen and Scale Interoperable, Fit-for-Purpose Digital Health Systems</w:t>
      </w:r>
    </w:p>
    <w:p>
      <w:pPr>
        <w:spacing w:before="0" w:after="200" w:line="240" w:lineRule="auto"/>
        <w:jc w:val="center"/>
      </w:pPr>
      <w:r>
        <w:rPr>
          <w:rFonts w:ascii="Times New Roman" w:hAnsi="Times New Roman" w:eastAsia="Times New Roman"/>
          <w:b/>
          <w:i/>
          <w:sz w:val="24"/>
        </w:rPr>
        <w:t>Your health, our mission.</w:t>
      </w:r>
    </w:p>
    <w:p>
      <w:pPr>
        <w:spacing w:before="240" w:after="120" w:line="240" w:lineRule="auto"/>
      </w:pPr>
      <w:r>
        <w:rPr>
          <w:rFonts w:ascii="Times New Roman" w:hAnsi="Times New Roman" w:eastAsia="Times New Roman"/>
          <w:b/>
          <w:i w:val="0"/>
          <w:sz w:val="24"/>
        </w:rPr>
        <w:t>Table Listing of Critical Details</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Item</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Detail</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Proposed Project Title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Connecting Community Health Visits to Uganda's National Digital Health Systems (FCHIP)</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Name of the Organization</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Medical Centre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to which the SOI is responding</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E: Health Foreign Assistance Memorandum of Understanding (MOU) Implementation in 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Target Benefiting Country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Federal Share Requested</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$1,850,000</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Cost Share (as applicable)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$0 (none proposed at this stage)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Project Length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36 months</w:t>
            </w:r>
          </w:p>
        </w:tc>
      </w:tr>
    </w:tbl>
    <w:p/>
    <w:p>
      <w:r>
        <w:br w:type="page"/>
      </w:r>
    </w:p>
    <w:p>
      <w:pPr>
        <w:spacing w:before="240" w:after="120" w:line="240" w:lineRule="auto"/>
      </w:pPr>
      <w:r>
        <w:rPr>
          <w:rFonts w:ascii="Times New Roman" w:hAnsi="Times New Roman" w:eastAsia="Times New Roman"/>
          <w:b/>
          <w:i w:val="0"/>
          <w:sz w:val="24"/>
        </w:rPr>
        <w:t>1. Issue / Challenge / Opportunity</w:t>
      </w:r>
    </w:p>
    <w:p>
      <w:pPr>
        <w:spacing w:before="0" w:after="120" w:line="240" w:lineRule="auto"/>
        <w:jc w:val="left"/>
      </w:pPr>
      <w:r>
        <w:rPr>
          <w:rFonts w:ascii="Times New Roman" w:hAnsi="Times New Roman" w:eastAsia="Times New Roman"/>
          <w:b w:val="0"/>
          <w:i w:val="0"/>
          <w:sz w:val="24"/>
        </w:rPr>
        <w:t>Uganda is moving through a five-year health transition (April 2026 to December 2030). Clinics, districts, and communities must keep HIV, TB, malaria, maternal and child health, immunisation, and outbreak services running well while more work shifts to government-led programmes. That only works if leaders can see what is happening in communities in time to act - not weeks later from paper books.</w:t>
      </w:r>
    </w:p>
    <w:p>
      <w:pPr>
        <w:spacing w:before="0" w:after="120" w:line="240" w:lineRule="auto"/>
        <w:jc w:val="left"/>
      </w:pPr>
      <w:r>
        <w:rPr>
          <w:rFonts w:ascii="Times New Roman" w:hAnsi="Times New Roman" w:eastAsia="Times New Roman"/>
          <w:b w:val="0"/>
          <w:i w:val="0"/>
          <w:sz w:val="24"/>
        </w:rPr>
        <w:t>Community Health Workers and Village Health Teams already visit homes and send people for care. Too often, what they record never reaches eCHIS, clinic records, DHIS2/eIDSR, or the National Data Warehouse in a form people can use. Then national systems miss rising fever cases, missed antenatal visits, gaps in immunisation, and medicine pressure. Care stays reactive, follow-up is weak, and hard-won gains can slip.</w:t>
      </w:r>
    </w:p>
    <w:p>
      <w:pPr>
        <w:spacing w:before="0" w:after="120" w:line="240" w:lineRule="auto"/>
        <w:jc w:val="left"/>
      </w:pPr>
      <w:r>
        <w:rPr>
          <w:rFonts w:ascii="Times New Roman" w:hAnsi="Times New Roman" w:eastAsia="Times New Roman"/>
          <w:b w:val="0"/>
          <w:i w:val="0"/>
          <w:sz w:val="24"/>
        </w:rPr>
        <w:t>There is a clear chance to fix this: help community visit data flow into Uganda's National Digital Health Architecture (NDHA) so Ministry of Health systems are fuller and more useful, and so government can take over step by step - without building a separate parallel system.</w:t>
      </w:r>
    </w:p>
    <w:p>
      <w:pPr>
        <w:spacing w:before="240" w:after="120" w:line="240" w:lineRule="auto"/>
      </w:pPr>
      <w:r>
        <w:rPr>
          <w:rFonts w:ascii="Times New Roman" w:hAnsi="Times New Roman" w:eastAsia="Times New Roman"/>
          <w:b/>
          <w:i w:val="0"/>
          <w:sz w:val="24"/>
        </w:rPr>
        <w:t>2. Proposed Solution / Activities</w:t>
      </w:r>
    </w:p>
    <w:p>
      <w:pPr>
        <w:spacing w:before="0" w:after="120" w:line="240" w:lineRule="auto"/>
        <w:jc w:val="left"/>
      </w:pPr>
      <w:r>
        <w:rPr>
          <w:rFonts w:ascii="Times New Roman" w:hAnsi="Times New Roman" w:eastAsia="Times New Roman"/>
          <w:b w:val="0"/>
          <w:i w:val="0"/>
          <w:sz w:val="24"/>
        </w:rPr>
        <w:t>FairBanks Medical Centre and FairBanks Community Reach submit this Statement of Interest under Track 2, Objective 4 of Addendum E: strengthen and scale digital health systems that work together, fit Uganda's needs, and move toward government ownership and steady day-to-day running.</w:t>
      </w:r>
    </w:p>
    <w:p>
      <w:pPr>
        <w:spacing w:before="0" w:after="120" w:line="240" w:lineRule="auto"/>
        <w:jc w:val="left"/>
      </w:pPr>
      <w:r>
        <w:rPr>
          <w:rFonts w:ascii="Times New Roman" w:hAnsi="Times New Roman" w:eastAsia="Times New Roman"/>
          <w:b w:val="0"/>
          <w:i w:val="0"/>
          <w:sz w:val="24"/>
        </w:rPr>
        <w:t>We want to trial, then hand over, a practical tool - the FairBanks Community Health Intelligence Platform (FCHIP) - that lets CHWs and VHTs record household and visit information on phones even offline, sync it safely, match it to national reporting needs, and help the clinic and district act. FCHIP is not meant to replace Uganda's national systems. It is a bridge so community work shows up where it should and helps prevent problems earlier.</w:t>
      </w:r>
    </w:p>
    <w:p>
      <w:pPr>
        <w:spacing w:before="0" w:after="120" w:line="240" w:lineRule="auto"/>
        <w:jc w:val="left"/>
      </w:pPr>
      <w:r>
        <w:rPr>
          <w:rFonts w:ascii="Times New Roman" w:hAnsi="Times New Roman" w:eastAsia="Times New Roman"/>
          <w:b w:val="0"/>
          <w:i w:val="0"/>
          <w:sz w:val="24"/>
        </w:rPr>
        <w:t>We will focus on the links that matter most for our catchments: household and visit data in line with eCHIS; referral and visit handoff into clinic systems (such as eAfya or ClinicMaster where used); summary reporting into DHIS2 and alerts that support eIDSR; readiness to feed the National Data Warehouse; and CHW/VHT workforce lists that can align with iHRIS where the rules allow. We will follow NDHA and OpenHIE-style sharing rules, under Ministry of Health guidance.</w:t>
      </w:r>
    </w:p>
    <w:p>
      <w:pPr>
        <w:spacing w:before="0" w:after="120" w:line="240" w:lineRule="auto"/>
        <w:jc w:val="left"/>
      </w:pPr>
      <w:r>
        <w:rPr>
          <w:rFonts w:ascii="Times New Roman" w:hAnsi="Times New Roman" w:eastAsia="Times New Roman"/>
          <w:b w:val="0"/>
          <w:i/>
          <w:sz w:val="24"/>
        </w:rPr>
        <w:t>We want every partner to gain something lasting. No one should depend forever on a private tool that sits outside government systems.</w:t>
      </w:r>
    </w:p>
    <w:tbl>
      <w:tblPr>
        <w:tblW w:type="auto" w:w="0"/>
        <w:jc w:val="center"/>
        <w:tblLook w:firstColumn="1" w:firstRow="1" w:lastColumn="0" w:lastRow="0" w:noHBand="0" w:noVBand="1" w:val="04A0"/>
      </w:tblPr>
      <w:tblGrid>
        <w:gridCol w:w="4680"/>
        <w:gridCol w:w="4680"/>
      </w:tblGrid>
      <w:tr>
        <w:tc>
          <w:tcPr>
            <w:tcW w:type="dxa" w:w="28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Who gains</w:t>
            </w:r>
          </w:p>
        </w:tc>
        <w:tc>
          <w:tcPr>
            <w:tcW w:type="dxa" w:w="64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they gain</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 / Ministry of Health</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More complete community data in eCHIS, DHIS2/eIDSR, and related national systems; clearer proof that referrals were closed; and a written plan to hand over staff roles and running costs to government by the end of the project.</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U.S. Department of State / GHSD</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Ugandan partner with a working clinic and community network that keeps essential services going while showing digital systems can connect under the MOU - in ways that can be measured and handed on, supporting U.S. goals around health security and country self-reliance.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Districts &amp; facilities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Simple screens to plan outreach, follow referrals, and track programmes; maps that show hotspots so teams can act before outbreaks hit the ward.</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Communities &amp; CHWs/VHTs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Easy tools that work offline, quicker support from the medical centre, and care that reaches mothers, children, older people, and people with long-term illness earlier.</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 FCHIP</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real place to test and write down a working data-sharing approach, then share the guides, training, and handoff plans with Ministry-aligned partners.</w:t>
            </w:r>
          </w:p>
        </w:tc>
      </w:tr>
    </w:tbl>
    <w:p/>
    <w:p>
      <w:pPr>
        <w:spacing w:before="0" w:after="80" w:line="240" w:lineRule="auto"/>
        <w:jc w:val="left"/>
      </w:pPr>
      <w:r>
        <w:rPr>
          <w:rFonts w:ascii="Times New Roman" w:hAnsi="Times New Roman" w:eastAsia="Times New Roman"/>
          <w:b/>
          <w:i w:val="0"/>
          <w:sz w:val="24"/>
        </w:rPr>
        <w:t>What we will do:</w:t>
      </w:r>
    </w:p>
    <w:p>
      <w:pPr>
        <w:pStyle w:val="ListBullet"/>
        <w:spacing w:after="60" w:line="240" w:lineRule="auto"/>
      </w:pPr>
      <w:r>
        <w:rPr>
          <w:rFonts w:ascii="Times New Roman" w:hAnsi="Times New Roman" w:eastAsia="Times New Roman"/>
          <w:b w:val="0"/>
          <w:i w:val="0"/>
          <w:sz w:val="24"/>
        </w:rPr>
        <w:t>A1. Put simple offline phone tools in the hands of CHWs and VHTs so household and visit records match eCHIS ideas across FairBanks Community Reach areas.</w:t>
      </w:r>
    </w:p>
    <w:p>
      <w:pPr>
        <w:pStyle w:val="ListBullet"/>
        <w:spacing w:after="60" w:line="240" w:lineRule="auto"/>
      </w:pPr>
      <w:r>
        <w:rPr>
          <w:rFonts w:ascii="Times New Roman" w:hAnsi="Times New Roman" w:eastAsia="Times New Roman"/>
          <w:b w:val="0"/>
          <w:i w:val="0"/>
          <w:sz w:val="24"/>
        </w:rPr>
        <w:t>A2. Set up safe syncing and clear access rules so community records reach FairBanks Medical Centre work and authorised district viewers, in line with Uganda's data protection and security expectations.</w:t>
      </w:r>
    </w:p>
    <w:p>
      <w:pPr>
        <w:pStyle w:val="ListBullet"/>
        <w:spacing w:after="60" w:line="240" w:lineRule="auto"/>
      </w:pPr>
      <w:r>
        <w:rPr>
          <w:rFonts w:ascii="Times New Roman" w:hAnsi="Times New Roman" w:eastAsia="Times New Roman"/>
          <w:b w:val="0"/>
          <w:i w:val="0"/>
          <w:sz w:val="24"/>
        </w:rPr>
        <w:t>A3. Match community indicators to DHIS2 reports and show how summary data can move for maternal and child health, immunisation, chronic disease screening, and disease watch (including eIDSR-related alerts).</w:t>
      </w:r>
    </w:p>
    <w:p>
      <w:pPr>
        <w:pStyle w:val="ListBullet"/>
        <w:spacing w:after="60" w:line="240" w:lineRule="auto"/>
      </w:pPr>
      <w:r>
        <w:rPr>
          <w:rFonts w:ascii="Times New Roman" w:hAnsi="Times New Roman" w:eastAsia="Times New Roman"/>
          <w:b w:val="0"/>
          <w:i w:val="0"/>
          <w:sz w:val="24"/>
        </w:rPr>
        <w:t>A4. Give clinics and programmes clear dashboards and hotspot maps that help trigger outreach, referrals, and supply planning.</w:t>
      </w:r>
    </w:p>
    <w:p>
      <w:pPr>
        <w:pStyle w:val="ListBullet"/>
        <w:spacing w:after="60" w:line="240" w:lineRule="auto"/>
      </w:pPr>
      <w:r>
        <w:rPr>
          <w:rFonts w:ascii="Times New Roman" w:hAnsi="Times New Roman" w:eastAsia="Times New Roman"/>
          <w:b w:val="0"/>
          <w:i w:val="0"/>
          <w:sz w:val="24"/>
        </w:rPr>
        <w:t>A5. Write the sharing rules, data-handling guides, training materials, and a step-by-step government handoff plan (including staff roles and running costs) ready for a full proposal if we are invited.</w:t>
      </w:r>
    </w:p>
    <w:p>
      <w:pPr>
        <w:spacing w:before="120" w:after="80" w:line="240" w:lineRule="auto"/>
        <w:jc w:val="left"/>
      </w:pPr>
      <w:r>
        <w:rPr>
          <w:rFonts w:ascii="Times New Roman" w:hAnsi="Times New Roman" w:eastAsia="Times New Roman"/>
          <w:b/>
          <w:i w:val="0"/>
          <w:sz w:val="24"/>
        </w:rPr>
        <w:t>How we will work:</w:t>
      </w:r>
    </w:p>
    <w:p>
      <w:pPr>
        <w:spacing w:before="0" w:after="100" w:line="240" w:lineRule="auto"/>
        <w:jc w:val="left"/>
      </w:pPr>
      <w:r>
        <w:rPr>
          <w:rFonts w:ascii="Times New Roman" w:hAnsi="Times New Roman" w:eastAsia="Times New Roman"/>
          <w:b w:val="0"/>
          <w:i w:val="0"/>
          <w:sz w:val="24"/>
        </w:rPr>
        <w:t>We start from how FairBanks already works: communities name needs; CHWs and VHTs visit, teach, and refer; FairBanks Community Reach runs outreach and home visits; FairBanks Medical Centre provides clinic care, tests, pharmacy, and referrals; FCHIP helps the information move back and forth so teams can act.</w:t>
      </w:r>
    </w:p>
    <w:p>
      <w:pPr>
        <w:spacing w:before="0" w:after="100" w:line="240" w:lineRule="auto"/>
        <w:jc w:val="left"/>
      </w:pPr>
      <w:r>
        <w:rPr>
          <w:rFonts w:ascii="Times New Roman" w:hAnsi="Times New Roman" w:eastAsia="Times New Roman"/>
          <w:b w:val="0"/>
          <w:i w:val="0"/>
          <w:sz w:val="24"/>
        </w:rPr>
        <w:t>We will build for sharing, not for locking data away. Priority links are eCHIS, DHIS2/eIDSR, clinic record systems (eAfya or ClinicMaster where used), and the National Data Warehouse when the national formats are confirmed.</w:t>
      </w:r>
    </w:p>
    <w:p>
      <w:pPr>
        <w:spacing w:before="0" w:after="100" w:line="240" w:lineRule="auto"/>
        <w:jc w:val="left"/>
      </w:pPr>
      <w:r>
        <w:rPr>
          <w:rFonts w:ascii="Times New Roman" w:hAnsi="Times New Roman" w:eastAsia="Times New Roman"/>
          <w:b w:val="0"/>
          <w:i w:val="0"/>
          <w:sz w:val="24"/>
        </w:rPr>
        <w:t>Digital work must support, not distract from, life-saving care. Community forms will include HIV, TB, and malaria flags where useful, plus maternal and child pathways, immunisation follow-up, and early outbreak warning.</w:t>
      </w:r>
    </w:p>
    <w:p>
      <w:pPr>
        <w:spacing w:before="0" w:after="100" w:line="240" w:lineRule="auto"/>
        <w:jc w:val="left"/>
      </w:pPr>
      <w:r>
        <w:rPr>
          <w:rFonts w:ascii="Times New Roman" w:hAnsi="Times New Roman" w:eastAsia="Times New Roman"/>
          <w:b w:val="0"/>
          <w:i w:val="0"/>
          <w:sz w:val="24"/>
        </w:rPr>
        <w:t>We will shape forms and alerts with CHWs, clinic staff, and local leaders; train Ugandan staff who will keep the system going; and write every link clearly for Ministry of Health review.</w:t>
      </w:r>
    </w:p>
    <w:p>
      <w:pPr>
        <w:spacing w:before="0" w:after="100" w:line="240" w:lineRule="auto"/>
        <w:jc w:val="left"/>
      </w:pPr>
      <w:r>
        <w:rPr>
          <w:rFonts w:ascii="Times New Roman" w:hAnsi="Times New Roman" w:eastAsia="Times New Roman"/>
          <w:b w:val="0"/>
          <w:i w:val="0"/>
          <w:sz w:val="24"/>
        </w:rPr>
        <w:t>We start where FairBanks already works - Bukoto, Kyebando, Kisaasi, Kamwokya, Kikaaya and nearby communities - and design so other districts with CHW/VHT networks can copy the approach later.</w:t>
      </w:r>
    </w:p>
    <w:p>
      <w:pPr>
        <w:spacing w:before="240" w:after="120" w:line="240" w:lineRule="auto"/>
      </w:pPr>
      <w:r>
        <w:rPr>
          <w:rFonts w:ascii="Times New Roman" w:hAnsi="Times New Roman" w:eastAsia="Times New Roman"/>
          <w:b/>
          <w:i w:val="0"/>
          <w:sz w:val="24"/>
        </w:rPr>
        <w:t>3. Anticipated Outcomes and Results</w:t>
      </w:r>
    </w:p>
    <w:p>
      <w:pPr>
        <w:spacing w:before="0" w:after="120" w:line="240" w:lineRule="auto"/>
        <w:jc w:val="left"/>
      </w:pPr>
      <w:r>
        <w:rPr>
          <w:rFonts w:ascii="Times New Roman" w:hAnsi="Times New Roman" w:eastAsia="Times New Roman"/>
          <w:b w:val="0"/>
          <w:i w:val="0"/>
          <w:sz w:val="24"/>
        </w:rPr>
        <w:t>Success means people get help earlier, government systems get stronger, work runs with less waste, Uganda can carry more of the load, and U.S. health investments stay protected:</w:t>
      </w:r>
    </w:p>
    <w:tbl>
      <w:tblPr>
        <w:tblW w:type="auto" w:w="0"/>
        <w:jc w:val="center"/>
        <w:tblLook w:firstColumn="1" w:firstRow="1" w:lastColumn="0" w:lastRow="0" w:noHBand="0" w:noVBand="1" w:val="04A0"/>
      </w:tblPr>
      <w:tblGrid>
        <w:gridCol w:w="4680"/>
        <w:gridCol w:w="4680"/>
      </w:tblGrid>
      <w:tr>
        <w:tc>
          <w:tcPr>
            <w:tcW w:type="dxa" w:w="23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Outcome</w:t>
            </w:r>
          </w:p>
        </w:tc>
        <w:tc>
          <w:tcPr>
            <w:tcW w:type="dxa" w:w="70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success looks like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Save lives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Earlier notice of missed antenatal visits, immunisation gaps, fever clusters, and lost referrals - followed by CHW action and clinic support.</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Strengthen systems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Working links and sample exports for eCHIS-style records and DHIS2/eIDSR summaries, with clear guides for the Ministry and partners.</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Work more efficiently</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Less double entry and less waiting on paper; screens that help teams move from a community signal to clinic or district action faster.</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Build self-reliance</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handoff package with guides, standard procedures, training, hosting options, and a costed path to move running costs onto domestic systems by project close.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Support U.S. interest</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clear contribution to the MOU digital shift: community data that connects under government authority, protects past U.S. health investments, and strengthens early warning for outbreaks.</w:t>
            </w:r>
          </w:p>
        </w:tc>
      </w:tr>
    </w:tbl>
    <w:p/>
    <w:p>
      <w:pPr>
        <w:spacing w:before="240" w:after="120" w:line="240" w:lineRule="auto"/>
      </w:pPr>
      <w:r>
        <w:rPr>
          <w:rFonts w:ascii="Times New Roman" w:hAnsi="Times New Roman" w:eastAsia="Times New Roman"/>
          <w:b/>
          <w:i w:val="0"/>
          <w:sz w:val="24"/>
        </w:rPr>
        <w:t>4. Organizational Capacity</w:t>
      </w:r>
    </w:p>
    <w:p>
      <w:pPr>
        <w:pStyle w:val="ListBullet"/>
        <w:spacing w:after="60" w:line="240" w:lineRule="auto"/>
      </w:pPr>
      <w:r>
        <w:rPr>
          <w:rFonts w:ascii="Times New Roman" w:hAnsi="Times New Roman" w:eastAsia="Times New Roman"/>
          <w:b w:val="0"/>
          <w:i w:val="0"/>
          <w:sz w:val="24"/>
        </w:rPr>
        <w:t>We are a Ugandan organisation with a working medical centre - clinic care, tests, pharmacy, and referrals already running every day.</w:t>
      </w:r>
    </w:p>
    <w:p>
      <w:pPr>
        <w:pStyle w:val="ListBullet"/>
        <w:spacing w:after="60" w:line="240" w:lineRule="auto"/>
      </w:pPr>
      <w:r>
        <w:rPr>
          <w:rFonts w:ascii="Times New Roman" w:hAnsi="Times New Roman" w:eastAsia="Times New Roman"/>
          <w:b w:val="0"/>
          <w:i w:val="0"/>
          <w:sz w:val="24"/>
        </w:rPr>
        <w:t>FairBanks Community Reach is active in maternal and child health, Gericare, chronic disease screening, and school and workplace outreach.</w:t>
      </w:r>
    </w:p>
    <w:p>
      <w:pPr>
        <w:pStyle w:val="ListBullet"/>
        <w:spacing w:after="60" w:line="240" w:lineRule="auto"/>
      </w:pPr>
      <w:r>
        <w:rPr>
          <w:rFonts w:ascii="Times New Roman" w:hAnsi="Times New Roman" w:eastAsia="Times New Roman"/>
          <w:b w:val="0"/>
          <w:i w:val="0"/>
          <w:sz w:val="24"/>
        </w:rPr>
        <w:t>We already work with CHWs and VHTs in the Kampala-area communities named above. This is not starting from zero.</w:t>
      </w:r>
    </w:p>
    <w:p>
      <w:pPr>
        <w:pStyle w:val="ListBullet"/>
        <w:spacing w:after="60" w:line="240" w:lineRule="auto"/>
      </w:pPr>
      <w:r>
        <w:rPr>
          <w:rFonts w:ascii="Times New Roman" w:hAnsi="Times New Roman" w:eastAsia="Times New Roman"/>
          <w:b w:val="0"/>
          <w:i w:val="0"/>
          <w:sz w:val="24"/>
        </w:rPr>
        <w:t>We already keep digital clinic records and pharmacy dispensing data that support day-to-day facility work.</w:t>
      </w:r>
    </w:p>
    <w:p>
      <w:pPr>
        <w:pStyle w:val="ListBullet"/>
        <w:spacing w:after="60" w:line="240" w:lineRule="auto"/>
      </w:pPr>
      <w:r>
        <w:rPr>
          <w:rFonts w:ascii="Times New Roman" w:hAnsi="Times New Roman" w:eastAsia="Times New Roman"/>
          <w:b w:val="0"/>
          <w:i w:val="0"/>
          <w:sz w:val="24"/>
        </w:rPr>
        <w:t>Research, ethics, and skills training are part of how FairBanks works with communities and partners.</w:t>
      </w:r>
    </w:p>
    <w:p>
      <w:pPr>
        <w:spacing w:before="240" w:after="120" w:line="240" w:lineRule="auto"/>
      </w:pPr>
      <w:r>
        <w:rPr>
          <w:rFonts w:ascii="Times New Roman" w:hAnsi="Times New Roman" w:eastAsia="Times New Roman"/>
          <w:b/>
          <w:i w:val="0"/>
          <w:sz w:val="24"/>
        </w:rPr>
        <w:t>5. How Systems Will Connect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System</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How we connect</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eCHIS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Household lists, visit logs, and referral flags from phone tools that work offline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Clinic records (eAfya / ClinicMaster)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Referral handoff and visit links at FairBanks Medical Centre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DHIS2 / eIDSR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Summary reports and disease alerts for maternal/child health, immunisation, outbreaks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National Data Warehouse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Standard data feeds when the national format is confirmed</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iHRIS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CHW/VHT worker lists aligned where the national rules allow</w:t>
            </w:r>
          </w:p>
        </w:tc>
      </w:tr>
    </w:tbl>
    <w:p/>
    <w:p>
      <w:pPr>
        <w:jc w:val="center"/>
      </w:pPr>
      <w:r>
        <w:drawing>
          <wp:inline xmlns:a="http://schemas.openxmlformats.org/drawingml/2006/main" xmlns:pic="http://schemas.openxmlformats.org/drawingml/2006/picture">
            <wp:extent cx="4665106" cy="3108960"/>
            <wp:docPr id="1" name="Picture 1"/>
            <wp:cNvGraphicFramePr>
              <a:graphicFrameLocks noChangeAspect="1"/>
            </wp:cNvGraphicFramePr>
            <a:graphic>
              <a:graphicData uri="http://schemas.openxmlformats.org/drawingml/2006/picture">
                <pic:pic>
                  <pic:nvPicPr>
                    <pic:cNvPr id="0" name="data_flow_iso_labeled_opt.jpg"/>
                    <pic:cNvPicPr/>
                  </pic:nvPicPr>
                  <pic:blipFill>
                    <a:blip r:embed="rId10"/>
                    <a:stretch>
                      <a:fillRect/>
                    </a:stretch>
                  </pic:blipFill>
                  <pic:spPr>
                    <a:xfrm>
                      <a:off x="0" y="0"/>
                      <a:ext cx="4665106" cy="3108960"/>
                    </a:xfrm>
                    <a:prstGeom prst="rect"/>
                  </pic:spPr>
                </pic:pic>
              </a:graphicData>
            </a:graphic>
          </wp:inline>
        </w:drawing>
      </w:r>
    </w:p>
    <w:p>
      <w:pPr>
        <w:spacing w:before="0" w:after="160" w:line="240" w:lineRule="auto"/>
        <w:jc w:val="center"/>
      </w:pPr>
      <w:r>
        <w:rPr>
          <w:rFonts w:ascii="Times New Roman" w:hAnsi="Times New Roman" w:eastAsia="Times New Roman"/>
          <w:b w:val="0"/>
          <w:i/>
          <w:sz w:val="20"/>
        </w:rPr>
        <w:t>Figure 1. From community visits through FCHIP into national digital health systems (chart; not counted in the page limit).</w:t>
      </w:r>
    </w:p>
    <w:p>
      <w:pPr>
        <w:spacing w:before="240" w:after="120" w:line="240" w:lineRule="auto"/>
      </w:pPr>
      <w:r>
        <w:rPr>
          <w:rFonts w:ascii="Times New Roman" w:hAnsi="Times New Roman" w:eastAsia="Times New Roman"/>
          <w:b/>
          <w:i w:val="0"/>
          <w:sz w:val="24"/>
        </w:rPr>
        <w:t>6. Alignment with Addendum E Guiding Principles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Principle</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How FairBanks responds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Sustainability &amp; country ownership</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Build with MoH/NDHA rules and plan a clear handoff over time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Protect essential services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Digital tools support HIV, TB, malaria, maternal/child care, and immunisation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Data for action &amp; accountability</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Good data into government systems that people actually use to decide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Integrated, people-centred care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One community-to-clinic loop; less fragmented work</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Local partnerships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Government, CHWs/VHTs, community groups, schools, and NGO partners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Evidence-based &amp; context fit</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Try in real communities; measure; improve before wider use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Oversight &amp; coordination</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Stay aligned with Ministry priorities and joint review meetings</w:t>
            </w:r>
          </w:p>
        </w:tc>
      </w:tr>
    </w:tbl>
    <w:p/>
    <w:p>
      <w:pPr>
        <w:spacing w:before="240" w:after="120" w:line="240" w:lineRule="auto"/>
      </w:pPr>
      <w:r>
        <w:rPr>
          <w:rFonts w:ascii="Times New Roman" w:hAnsi="Times New Roman" w:eastAsia="Times New Roman"/>
          <w:b/>
          <w:i w:val="0"/>
          <w:sz w:val="24"/>
        </w:rPr>
        <w:t>7. Partner Roles (early list)</w:t>
      </w:r>
    </w:p>
    <w:p>
      <w:pPr>
        <w:spacing w:before="0" w:after="120" w:line="240" w:lineRule="auto"/>
        <w:jc w:val="left"/>
      </w:pPr>
      <w:r>
        <w:rPr>
          <w:rFonts w:ascii="Times New Roman" w:hAnsi="Times New Roman" w:eastAsia="Times New Roman"/>
          <w:b w:val="0"/>
          <w:i w:val="0"/>
          <w:sz w:val="24"/>
        </w:rPr>
        <w:t>The partners below are early ideas for this stage. Names, contacts, and any shared budget amounts can change in Phase 2 or joint design if we are invited. For this Statement of Interest, FairBanks Medical Centre is the lead applicant.</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Partner</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Proposed role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Ministry of Health (digital health / community health)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 with NDHA, eCHIS, and national reporting; review links and the handoff plan</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 health teams (pilot areas)</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Check summary reports, use dashboards, and discuss readiness</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CHWs, VHTs, and community leaders</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Main partners for data; help shape forms and alerts</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Academic partners (to be confirmed later)</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Help with learning and testing how systems share data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NGOs / community groups working with FairBanks Community Reach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Help coordinate outreach and community work</w:t>
            </w:r>
          </w:p>
        </w:tc>
      </w:tr>
    </w:tbl>
    <w:p/>
    <w:p>
      <w:pPr>
        <w:spacing w:before="240" w:after="120" w:line="240" w:lineRule="auto"/>
      </w:pPr>
      <w:r>
        <w:rPr>
          <w:rFonts w:ascii="Times New Roman" w:hAnsi="Times New Roman" w:eastAsia="Times New Roman"/>
          <w:b/>
          <w:i w:val="0"/>
          <w:sz w:val="24"/>
        </w:rPr>
        <w:t>8. Resource Contributions and/or Cost Share</w:t>
      </w:r>
    </w:p>
    <w:p>
      <w:pPr>
        <w:spacing w:before="0" w:after="120" w:line="240" w:lineRule="auto"/>
        <w:jc w:val="left"/>
      </w:pPr>
      <w:r>
        <w:rPr>
          <w:rFonts w:ascii="Times New Roman" w:hAnsi="Times New Roman" w:eastAsia="Times New Roman"/>
          <w:b w:val="0"/>
          <w:i w:val="0"/>
          <w:sz w:val="24"/>
        </w:rPr>
        <w:t>We are not proposing cost share at this stage. FairBanks will keep running its medical centre and community outreach as normal. If invited to the next stage, we can discuss any in-kind support or matching help then.</w:t>
      </w:r>
    </w:p>
    <w:p>
      <w:pPr>
        <w:spacing w:before="240" w:after="120" w:line="240" w:lineRule="auto"/>
      </w:pPr>
      <w:r>
        <w:rPr>
          <w:rFonts w:ascii="Times New Roman" w:hAnsi="Times New Roman" w:eastAsia="Times New Roman"/>
          <w:b/>
          <w:i w:val="0"/>
          <w:sz w:val="24"/>
        </w:rPr>
        <w:t>9. Readiness for Phase 2</w:t>
      </w:r>
    </w:p>
    <w:p>
      <w:pPr>
        <w:spacing w:before="0" w:after="120" w:line="240" w:lineRule="auto"/>
        <w:jc w:val="left"/>
      </w:pPr>
      <w:r>
        <w:rPr>
          <w:rFonts w:ascii="Times New Roman" w:hAnsi="Times New Roman" w:eastAsia="Times New Roman"/>
          <w:b w:val="0"/>
          <w:i w:val="0"/>
          <w:sz w:val="24"/>
        </w:rPr>
        <w:t>With this Statement of Interest, FairBanks asks to move Track 2, Objective 4 forward through a digital health approach rooted in community work, built to connect with government systems, and designed for Ugandan ownership. We hope to be invited to Phase 2 (full proposal) or joint programme design, where we will set out workplans, budgets, monitoring, partner letters, and a clear plan to hand over staffing and running costs.</w:t>
      </w:r>
    </w:p>
    <w:p>
      <w:pPr>
        <w:spacing w:before="160" w:after="120" w:line="240" w:lineRule="auto"/>
        <w:jc w:val="center"/>
      </w:pPr>
      <w:r>
        <w:rPr>
          <w:rFonts w:ascii="Times New Roman" w:hAnsi="Times New Roman" w:eastAsia="Times New Roman"/>
          <w:b/>
          <w:i/>
          <w:sz w:val="24"/>
        </w:rPr>
        <w:t>Your health, our mission.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Page </w:t>
    </w:r>
    <w:r>
      <w:rPr>
        <w:rFonts w:ascii="Times New Roman" w:hAnsi="Times New Roman" w:eastAsia="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