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eastAsia="Times New Roman"/>
          <w:b/>
          <w:i w:val="0"/>
          <w:color w:val="1E2F38"/>
          <w:sz w:val="22"/>
        </w:rPr>
        <w:t>CDC-RFA-JG-26-0054 — Strengthening global health security through local partnerships in Uganda</w:t>
      </w:r>
    </w:p>
    <w:p>
      <w:pPr>
        <w:spacing w:after="120" w:before="0"/>
        <w:jc w:val="center"/>
      </w:pPr>
      <w:r>
        <w:rPr>
          <w:rFonts w:ascii="Times New Roman" w:hAnsi="Times New Roman" w:eastAsia="Times New Roman"/>
          <w:b/>
          <w:i w:val="0"/>
          <w:color w:val="1E2F38"/>
          <w:sz w:val="28"/>
        </w:rPr>
        <w:t>Win-ready project narrative pack (submission companion)</w:t>
      </w:r>
    </w:p>
    <w:p>
      <w:pPr>
        <w:spacing w:after="120" w:before="0"/>
        <w:jc w:val="center"/>
      </w:pPr>
      <w:r>
        <w:rPr>
          <w:rFonts w:ascii="Times New Roman" w:hAnsi="Times New Roman" w:eastAsia="Times New Roman"/>
          <w:b/>
          <w:i/>
          <w:color w:val="1E2F38"/>
          <w:sz w:val="24"/>
        </w:rPr>
        <w:t>FairBanks Medical Centre · FCHIP component</w:t>
      </w:r>
    </w:p>
    <w:p>
      <w:pPr>
        <w:spacing w:after="240" w:before="0"/>
        <w:jc w:val="center"/>
      </w:pPr>
      <w:r>
        <w:rPr>
          <w:rFonts w:ascii="Times New Roman" w:hAnsi="Times New Roman" w:eastAsia="Times New Roman"/>
          <w:b/>
          <w:i/>
          <w:color w:val="1E2F38"/>
          <w:sz w:val="24"/>
        </w:rPr>
        <w:t>Your health, our mission.</w:t>
      </w:r>
    </w:p>
    <w:p>
      <w:pPr>
        <w:jc w:val="center"/>
      </w:pPr>
      <w:r>
        <w:drawing>
          <wp:inline xmlns:a="http://schemas.openxmlformats.org/drawingml/2006/main" xmlns:pic="http://schemas.openxmlformats.org/drawingml/2006/picture">
            <wp:extent cx="1097280" cy="411990"/>
            <wp:docPr id="1" name="Picture 1"/>
            <wp:cNvGraphicFramePr>
              <a:graphicFrameLocks noChangeAspect="1"/>
            </wp:cNvGraphicFramePr>
            <a:graphic>
              <a:graphicData uri="http://schemas.openxmlformats.org/drawingml/2006/picture">
                <pic:pic>
                  <pic:nvPicPr>
                    <pic:cNvPr id="0" name="fairbanks_logo.jpeg"/>
                    <pic:cNvPicPr/>
                  </pic:nvPicPr>
                  <pic:blipFill>
                    <a:blip r:embed="rId9"/>
                    <a:stretch>
                      <a:fillRect/>
                    </a:stretch>
                  </pic:blipFill>
                  <pic:spPr>
                    <a:xfrm>
                      <a:off x="0" y="0"/>
                      <a:ext cx="1097280" cy="411990"/>
                    </a:xfrm>
                    <a:prstGeom prst="rect"/>
                  </pic:spPr>
                </pic:pic>
              </a:graphicData>
            </a:graphic>
          </wp:inline>
        </w:drawing>
      </w:r>
    </w:p>
    <w:p>
      <w:pPr>
        <w:spacing w:after="160" w:before="0"/>
      </w:pPr>
      <w:r>
        <w:rPr>
          <w:rFonts w:ascii="Times New Roman" w:hAnsi="Times New Roman" w:eastAsia="Times New Roman"/>
          <w:b/>
          <w:i w:val="0"/>
          <w:color w:val="1E2F38"/>
          <w:sz w:val="24"/>
        </w:rPr>
        <w:t>Table of critical details</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Item</w:t>
            </w:r>
          </w:p>
        </w:tc>
        <w:tc>
          <w:tcPr>
            <w:tcW w:type="dxa" w:w="4680"/>
            <w:shd w:fill="F7F5F0"/>
          </w:tcPr>
          <w:p>
            <w:r/>
            <w:r>
              <w:rPr>
                <w:rFonts w:ascii="Times New Roman" w:hAnsi="Times New Roman" w:eastAsia="Times New Roman"/>
                <w:b/>
                <w:i w:val="0"/>
                <w:color w:val="1E2F38"/>
                <w:sz w:val="20"/>
              </w:rPr>
              <w:t>Detail</w:t>
            </w:r>
          </w:p>
        </w:tc>
      </w:tr>
      <w:tr>
        <w:tc>
          <w:tcPr>
            <w:tcW w:type="dxa" w:w="4680"/>
          </w:tcPr>
          <w:p>
            <w:r/>
            <w:r>
              <w:rPr>
                <w:rFonts w:ascii="Times New Roman" w:hAnsi="Times New Roman" w:eastAsia="Times New Roman"/>
                <w:b w:val="0"/>
                <w:i w:val="0"/>
                <w:color w:val="1E2F38"/>
                <w:sz w:val="20"/>
              </w:rPr>
              <w:t>Opportunity number</w:t>
            </w:r>
          </w:p>
        </w:tc>
        <w:tc>
          <w:tcPr>
            <w:tcW w:type="dxa" w:w="4680"/>
          </w:tcPr>
          <w:p>
            <w:r/>
            <w:r>
              <w:rPr>
                <w:rFonts w:ascii="Times New Roman" w:hAnsi="Times New Roman" w:eastAsia="Times New Roman"/>
                <w:b w:val="0"/>
                <w:i w:val="0"/>
                <w:color w:val="1E2F38"/>
                <w:sz w:val="20"/>
              </w:rPr>
              <w:t>CDC-RFA-JG-26-0054</w:t>
            </w:r>
          </w:p>
        </w:tc>
      </w:tr>
      <w:tr>
        <w:tc>
          <w:tcPr>
            <w:tcW w:type="dxa" w:w="4680"/>
          </w:tcPr>
          <w:p>
            <w:r/>
            <w:r>
              <w:rPr>
                <w:rFonts w:ascii="Times New Roman" w:hAnsi="Times New Roman" w:eastAsia="Times New Roman"/>
                <w:b w:val="0"/>
                <w:i w:val="0"/>
                <w:color w:val="1E2F38"/>
                <w:sz w:val="20"/>
              </w:rPr>
              <w:t>Applicant</w:t>
            </w:r>
          </w:p>
        </w:tc>
        <w:tc>
          <w:tcPr>
            <w:tcW w:type="dxa" w:w="4680"/>
          </w:tcPr>
          <w:p>
            <w:r/>
            <w:r>
              <w:rPr>
                <w:rFonts w:ascii="Times New Roman" w:hAnsi="Times New Roman" w:eastAsia="Times New Roman"/>
                <w:b w:val="0"/>
                <w:i w:val="0"/>
                <w:color w:val="1E2F38"/>
                <w:sz w:val="20"/>
              </w:rPr>
              <w:t>FAIRBANKS MEDICAL CENTRE LIMITED</w:t>
            </w:r>
          </w:p>
        </w:tc>
      </w:tr>
      <w:tr>
        <w:tc>
          <w:tcPr>
            <w:tcW w:type="dxa" w:w="4680"/>
          </w:tcPr>
          <w:p>
            <w:r/>
            <w:r>
              <w:rPr>
                <w:rFonts w:ascii="Times New Roman" w:hAnsi="Times New Roman" w:eastAsia="Times New Roman"/>
                <w:b w:val="0"/>
                <w:i w:val="0"/>
                <w:color w:val="1E2F38"/>
                <w:sz w:val="20"/>
              </w:rPr>
              <w:t>Company No. / TIN / NSSF</w:t>
            </w:r>
          </w:p>
        </w:tc>
        <w:tc>
          <w:tcPr>
            <w:tcW w:type="dxa" w:w="4680"/>
          </w:tcPr>
          <w:p>
            <w:r/>
            <w:r>
              <w:rPr>
                <w:rFonts w:ascii="Times New Roman" w:hAnsi="Times New Roman" w:eastAsia="Times New Roman"/>
                <w:b w:val="0"/>
                <w:i w:val="0"/>
                <w:color w:val="1E2F38"/>
                <w:sz w:val="20"/>
              </w:rPr>
              <w:t>80020003843337 · 1053370026 · NS043295</w:t>
            </w:r>
          </w:p>
        </w:tc>
      </w:tr>
      <w:tr>
        <w:tc>
          <w:tcPr>
            <w:tcW w:type="dxa" w:w="4680"/>
          </w:tcPr>
          <w:p>
            <w:r/>
            <w:r>
              <w:rPr>
                <w:rFonts w:ascii="Times New Roman" w:hAnsi="Times New Roman" w:eastAsia="Times New Roman"/>
                <w:b w:val="0"/>
                <w:i w:val="0"/>
                <w:color w:val="1E2F38"/>
                <w:sz w:val="20"/>
              </w:rPr>
              <w:t>Country of performance</w:t>
            </w:r>
          </w:p>
        </w:tc>
        <w:tc>
          <w:tcPr>
            <w:tcW w:type="dxa" w:w="4680"/>
          </w:tcPr>
          <w:p>
            <w:r/>
            <w:r>
              <w:rPr>
                <w:rFonts w:ascii="Times New Roman" w:hAnsi="Times New Roman" w:eastAsia="Times New Roman"/>
                <w:b w:val="0"/>
                <w:i w:val="0"/>
                <w:color w:val="1E2F38"/>
                <w:sz w:val="20"/>
              </w:rPr>
              <w:t>Uganda</w:t>
            </w:r>
          </w:p>
        </w:tc>
      </w:tr>
      <w:tr>
        <w:tc>
          <w:tcPr>
            <w:tcW w:type="dxa" w:w="4680"/>
          </w:tcPr>
          <w:p>
            <w:r/>
            <w:r>
              <w:rPr>
                <w:rFonts w:ascii="Times New Roman" w:hAnsi="Times New Roman" w:eastAsia="Times New Roman"/>
                <w:b w:val="0"/>
                <w:i w:val="0"/>
                <w:color w:val="1E2F38"/>
                <w:sz w:val="20"/>
              </w:rPr>
              <w:t>Funding instrument</w:t>
            </w:r>
          </w:p>
        </w:tc>
        <w:tc>
          <w:tcPr>
            <w:tcW w:type="dxa" w:w="4680"/>
          </w:tcPr>
          <w:p>
            <w:r/>
            <w:r>
              <w:rPr>
                <w:rFonts w:ascii="Times New Roman" w:hAnsi="Times New Roman" w:eastAsia="Times New Roman"/>
                <w:b w:val="0"/>
                <w:i w:val="0"/>
                <w:color w:val="1E2F38"/>
                <w:sz w:val="20"/>
              </w:rPr>
              <w:t>Cooperative agreement</w:t>
            </w:r>
          </w:p>
        </w:tc>
      </w:tr>
      <w:tr>
        <w:tc>
          <w:tcPr>
            <w:tcW w:type="dxa" w:w="4680"/>
          </w:tcPr>
          <w:p>
            <w:r/>
            <w:r>
              <w:rPr>
                <w:rFonts w:ascii="Times New Roman" w:hAnsi="Times New Roman" w:eastAsia="Times New Roman"/>
                <w:b w:val="0"/>
                <w:i w:val="0"/>
                <w:color w:val="1E2F38"/>
                <w:sz w:val="20"/>
              </w:rPr>
              <w:t>Assistance listing</w:t>
            </w:r>
          </w:p>
        </w:tc>
        <w:tc>
          <w:tcPr>
            <w:tcW w:type="dxa" w:w="4680"/>
          </w:tcPr>
          <w:p>
            <w:r/>
            <w:r>
              <w:rPr>
                <w:rFonts w:ascii="Times New Roman" w:hAnsi="Times New Roman" w:eastAsia="Times New Roman"/>
                <w:b w:val="0"/>
                <w:i w:val="0"/>
                <w:color w:val="1E2F38"/>
                <w:sz w:val="20"/>
              </w:rPr>
              <w:t>93.318</w:t>
            </w:r>
          </w:p>
        </w:tc>
      </w:tr>
      <w:tr>
        <w:tc>
          <w:tcPr>
            <w:tcW w:type="dxa" w:w="4680"/>
          </w:tcPr>
          <w:p>
            <w:r/>
            <w:r>
              <w:rPr>
                <w:rFonts w:ascii="Times New Roman" w:hAnsi="Times New Roman" w:eastAsia="Times New Roman"/>
                <w:b w:val="0"/>
                <w:i w:val="0"/>
                <w:color w:val="1E2F38"/>
                <w:sz w:val="20"/>
              </w:rPr>
              <w:t>Period of performance</w:t>
            </w:r>
          </w:p>
        </w:tc>
        <w:tc>
          <w:tcPr>
            <w:tcW w:type="dxa" w:w="4680"/>
          </w:tcPr>
          <w:p>
            <w:r/>
            <w:r>
              <w:rPr>
                <w:rFonts w:ascii="Times New Roman" w:hAnsi="Times New Roman" w:eastAsia="Times New Roman"/>
                <w:b w:val="0"/>
                <w:i w:val="0"/>
                <w:color w:val="1E2F38"/>
                <w:sz w:val="20"/>
              </w:rPr>
              <w:t>5 years (five 12-month budget periods)</w:t>
            </w:r>
          </w:p>
        </w:tc>
      </w:tr>
      <w:tr>
        <w:tc>
          <w:tcPr>
            <w:tcW w:type="dxa" w:w="4680"/>
          </w:tcPr>
          <w:p>
            <w:r/>
            <w:r>
              <w:rPr>
                <w:rFonts w:ascii="Times New Roman" w:hAnsi="Times New Roman" w:eastAsia="Times New Roman"/>
                <w:b w:val="0"/>
                <w:i w:val="0"/>
                <w:color w:val="1E2F38"/>
                <w:sz w:val="20"/>
              </w:rPr>
              <w:t>Year 1 total federal ask (draft)</w:t>
            </w:r>
          </w:p>
        </w:tc>
        <w:tc>
          <w:tcPr>
            <w:tcW w:type="dxa" w:w="4680"/>
          </w:tcPr>
          <w:p>
            <w:r/>
            <w:r>
              <w:rPr>
                <w:rFonts w:ascii="Times New Roman" w:hAnsi="Times New Roman" w:eastAsia="Times New Roman"/>
                <w:b w:val="0"/>
                <w:i w:val="0"/>
                <w:color w:val="1E2F38"/>
                <w:sz w:val="20"/>
              </w:rPr>
              <w:t>$3,300,000 (CONFIRM; all components)</w:t>
            </w:r>
          </w:p>
        </w:tc>
      </w:tr>
      <w:tr>
        <w:tc>
          <w:tcPr>
            <w:tcW w:type="dxa" w:w="4680"/>
          </w:tcPr>
          <w:p>
            <w:r/>
            <w:r>
              <w:rPr>
                <w:rFonts w:ascii="Times New Roman" w:hAnsi="Times New Roman" w:eastAsia="Times New Roman"/>
                <w:b w:val="0"/>
                <w:i w:val="0"/>
                <w:color w:val="1E2F38"/>
                <w:sz w:val="20"/>
              </w:rPr>
              <w:t>Year 1 Component 1 ask (draft)</w:t>
            </w:r>
          </w:p>
        </w:tc>
        <w:tc>
          <w:tcPr>
            <w:tcW w:type="dxa" w:w="4680"/>
          </w:tcPr>
          <w:p>
            <w:r/>
            <w:r>
              <w:rPr>
                <w:rFonts w:ascii="Times New Roman" w:hAnsi="Times New Roman" w:eastAsia="Times New Roman"/>
                <w:b w:val="0"/>
                <w:i w:val="0"/>
                <w:color w:val="1E2F38"/>
                <w:sz w:val="20"/>
              </w:rPr>
              <w:t>$2,100,000 (CONFIRM; ceiling $5,000,000)</w:t>
            </w:r>
          </w:p>
        </w:tc>
      </w:tr>
      <w:tr>
        <w:tc>
          <w:tcPr>
            <w:tcW w:type="dxa" w:w="4680"/>
          </w:tcPr>
          <w:p>
            <w:r/>
            <w:r>
              <w:rPr>
                <w:rFonts w:ascii="Times New Roman" w:hAnsi="Times New Roman" w:eastAsia="Times New Roman"/>
                <w:b w:val="0"/>
                <w:i w:val="0"/>
                <w:color w:val="1E2F38"/>
                <w:sz w:val="20"/>
              </w:rPr>
              <w:t>Cost share</w:t>
            </w:r>
          </w:p>
        </w:tc>
        <w:tc>
          <w:tcPr>
            <w:tcW w:type="dxa" w:w="4680"/>
          </w:tcPr>
          <w:p>
            <w:r/>
            <w:r>
              <w:rPr>
                <w:rFonts w:ascii="Times New Roman" w:hAnsi="Times New Roman" w:eastAsia="Times New Roman"/>
                <w:b w:val="0"/>
                <w:i w:val="0"/>
                <w:color w:val="1E2F38"/>
                <w:sz w:val="20"/>
              </w:rPr>
              <w:t>None proposed</w:t>
            </w:r>
          </w:p>
        </w:tc>
      </w:tr>
      <w:tr>
        <w:tc>
          <w:tcPr>
            <w:tcW w:type="dxa" w:w="4680"/>
          </w:tcPr>
          <w:p>
            <w:r/>
            <w:r>
              <w:rPr>
                <w:rFonts w:ascii="Times New Roman" w:hAnsi="Times New Roman" w:eastAsia="Times New Roman"/>
                <w:b w:val="0"/>
                <w:i w:val="0"/>
                <w:color w:val="1E2F38"/>
                <w:sz w:val="20"/>
              </w:rPr>
              <w:t>Local partner preference</w:t>
            </w:r>
          </w:p>
        </w:tc>
        <w:tc>
          <w:tcPr>
            <w:tcW w:type="dxa" w:w="4680"/>
          </w:tcPr>
          <w:p>
            <w:r/>
            <w:r>
              <w:rPr>
                <w:rFonts w:ascii="Times New Roman" w:hAnsi="Times New Roman" w:eastAsia="Times New Roman"/>
                <w:b w:val="0"/>
                <w:i w:val="0"/>
                <w:color w:val="1E2F38"/>
                <w:sz w:val="20"/>
              </w:rPr>
              <w:t>Yes — Uganda-incorporated entity (+15 points; document before submit)</w:t>
            </w:r>
          </w:p>
        </w:tc>
      </w:tr>
      <w:tr>
        <w:tc>
          <w:tcPr>
            <w:tcW w:type="dxa" w:w="4680"/>
          </w:tcPr>
          <w:p>
            <w:r/>
            <w:r>
              <w:rPr>
                <w:rFonts w:ascii="Times New Roman" w:hAnsi="Times New Roman" w:eastAsia="Times New Roman"/>
                <w:b w:val="0"/>
                <w:i w:val="0"/>
                <w:color w:val="1E2F38"/>
                <w:sz w:val="20"/>
              </w:rPr>
              <w:t>Merit scoring focus</w:t>
            </w:r>
          </w:p>
        </w:tc>
        <w:tc>
          <w:tcPr>
            <w:tcW w:type="dxa" w:w="4680"/>
          </w:tcPr>
          <w:p>
            <w:r/>
            <w:r>
              <w:rPr>
                <w:rFonts w:ascii="Times New Roman" w:hAnsi="Times New Roman" w:eastAsia="Times New Roman"/>
                <w:b w:val="0"/>
                <w:i w:val="0"/>
                <w:color w:val="1E2F38"/>
                <w:sz w:val="20"/>
              </w:rPr>
              <w:t>Approach 35 · EPMP 40 · Capacity 25</w:t>
            </w:r>
          </w:p>
        </w:tc>
      </w:tr>
      <w:tr>
        <w:tc>
          <w:tcPr>
            <w:tcW w:type="dxa" w:w="4680"/>
          </w:tcPr>
          <w:p>
            <w:r/>
            <w:r>
              <w:rPr>
                <w:rFonts w:ascii="Times New Roman" w:hAnsi="Times New Roman" w:eastAsia="Times New Roman"/>
                <w:b w:val="0"/>
                <w:i w:val="0"/>
                <w:color w:val="1E2F38"/>
                <w:sz w:val="20"/>
              </w:rPr>
              <w:t>Deadline</w:t>
            </w:r>
          </w:p>
        </w:tc>
        <w:tc>
          <w:tcPr>
            <w:tcW w:type="dxa" w:w="4680"/>
          </w:tcPr>
          <w:p>
            <w:r/>
            <w:r>
              <w:rPr>
                <w:rFonts w:ascii="Times New Roman" w:hAnsi="Times New Roman" w:eastAsia="Times New Roman"/>
                <w:b w:val="0"/>
                <w:i w:val="0"/>
                <w:color w:val="1E2F38"/>
                <w:sz w:val="20"/>
              </w:rPr>
              <w:t>14 August 2026, 11:59 p.m. ET</w:t>
            </w:r>
          </w:p>
        </w:tc>
      </w:tr>
      <w:tr>
        <w:tc>
          <w:tcPr>
            <w:tcW w:type="dxa" w:w="4680"/>
          </w:tcPr>
          <w:p>
            <w:r/>
            <w:r>
              <w:rPr>
                <w:rFonts w:ascii="Times New Roman" w:hAnsi="Times New Roman" w:eastAsia="Times New Roman"/>
                <w:b w:val="0"/>
                <w:i w:val="0"/>
                <w:color w:val="1E2F38"/>
                <w:sz w:val="20"/>
              </w:rPr>
              <w:t>Contact</w:t>
            </w:r>
          </w:p>
        </w:tc>
        <w:tc>
          <w:tcPr>
            <w:tcW w:type="dxa" w:w="4680"/>
          </w:tcPr>
          <w:p>
            <w:r/>
            <w:r>
              <w:rPr>
                <w:rFonts w:ascii="Times New Roman" w:hAnsi="Times New Roman" w:eastAsia="Times New Roman"/>
                <w:b w:val="0"/>
                <w:i w:val="0"/>
                <w:color w:val="1E2F38"/>
                <w:sz w:val="20"/>
              </w:rPr>
              <w:t>Racheal Nabukeera · info@fairbanksmedicalcentre.org · +256 772 849 258</w:t>
            </w:r>
          </w:p>
        </w:tc>
      </w:tr>
    </w:tbl>
    <w:p/>
    <w:p>
      <w:pPr>
        <w:spacing w:after="160" w:before="0"/>
      </w:pPr>
      <w:r>
        <w:rPr>
          <w:rFonts w:ascii="Times New Roman" w:hAnsi="Times New Roman" w:eastAsia="Times New Roman"/>
          <w:b/>
          <w:i w:val="0"/>
          <w:color w:val="1E2F38"/>
          <w:sz w:val="24"/>
        </w:rPr>
        <w:t>Shared win</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Who</w:t>
            </w:r>
          </w:p>
        </w:tc>
        <w:tc>
          <w:tcPr>
            <w:tcW w:type="dxa" w:w="4680"/>
            <w:shd w:fill="F7F5F0"/>
          </w:tcPr>
          <w:p>
            <w:r/>
            <w:r>
              <w:rPr>
                <w:rFonts w:ascii="Times New Roman" w:hAnsi="Times New Roman" w:eastAsia="Times New Roman"/>
                <w:b/>
                <w:i w:val="0"/>
                <w:color w:val="1E2F38"/>
                <w:sz w:val="20"/>
              </w:rPr>
              <w:t>What they gain</w:t>
            </w:r>
          </w:p>
        </w:tc>
      </w:tr>
      <w:tr>
        <w:tc>
          <w:tcPr>
            <w:tcW w:type="dxa" w:w="4680"/>
          </w:tcPr>
          <w:p>
            <w:r/>
            <w:r>
              <w:rPr>
                <w:rFonts w:ascii="Times New Roman" w:hAnsi="Times New Roman" w:eastAsia="Times New Roman"/>
                <w:b w:val="0"/>
                <w:i w:val="0"/>
                <w:color w:val="1E2F38"/>
                <w:sz w:val="20"/>
              </w:rPr>
              <w:t>CDC / United States</w:t>
            </w:r>
          </w:p>
        </w:tc>
        <w:tc>
          <w:tcPr>
            <w:tcW w:type="dxa" w:w="4680"/>
          </w:tcPr>
          <w:p>
            <w:r/>
            <w:r>
              <w:rPr>
                <w:rFonts w:ascii="Times New Roman" w:hAnsi="Times New Roman" w:eastAsia="Times New Roman"/>
                <w:b w:val="0"/>
                <w:i w:val="0"/>
                <w:color w:val="1E2F38"/>
                <w:sz w:val="20"/>
              </w:rPr>
              <w:t>Earlier containment at source — Safer, Stronger, More Prosperous</w:t>
            </w:r>
          </w:p>
        </w:tc>
      </w:tr>
      <w:tr>
        <w:tc>
          <w:tcPr>
            <w:tcW w:type="dxa" w:w="4680"/>
          </w:tcPr>
          <w:p>
            <w:r/>
            <w:r>
              <w:rPr>
                <w:rFonts w:ascii="Times New Roman" w:hAnsi="Times New Roman" w:eastAsia="Times New Roman"/>
                <w:b w:val="0"/>
                <w:i w:val="0"/>
                <w:color w:val="1E2F38"/>
                <w:sz w:val="20"/>
              </w:rPr>
              <w:t>Uganda / MoH</w:t>
            </w:r>
          </w:p>
        </w:tc>
        <w:tc>
          <w:tcPr>
            <w:tcW w:type="dxa" w:w="4680"/>
          </w:tcPr>
          <w:p>
            <w:r/>
            <w:r>
              <w:rPr>
                <w:rFonts w:ascii="Times New Roman" w:hAnsi="Times New Roman" w:eastAsia="Times New Roman"/>
                <w:b w:val="0"/>
                <w:i w:val="0"/>
                <w:color w:val="1E2F38"/>
                <w:sz w:val="20"/>
              </w:rPr>
              <w:t>Last-mile signals into NISS/NAPHS II; trained CHWs; 7-1-7 practice</w:t>
            </w:r>
          </w:p>
        </w:tc>
      </w:tr>
      <w:tr>
        <w:tc>
          <w:tcPr>
            <w:tcW w:type="dxa" w:w="4680"/>
          </w:tcPr>
          <w:p>
            <w:r/>
            <w:r>
              <w:rPr>
                <w:rFonts w:ascii="Times New Roman" w:hAnsi="Times New Roman" w:eastAsia="Times New Roman"/>
                <w:b w:val="0"/>
                <w:i w:val="0"/>
                <w:color w:val="1E2F38"/>
                <w:sz w:val="20"/>
              </w:rPr>
              <w:t>FairBanks</w:t>
            </w:r>
          </w:p>
        </w:tc>
        <w:tc>
          <w:tcPr>
            <w:tcW w:type="dxa" w:w="4680"/>
          </w:tcPr>
          <w:p>
            <w:r/>
            <w:r>
              <w:rPr>
                <w:rFonts w:ascii="Times New Roman" w:hAnsi="Times New Roman" w:eastAsia="Times New Roman"/>
                <w:b w:val="0"/>
                <w:i w:val="0"/>
                <w:color w:val="1E2F38"/>
                <w:sz w:val="20"/>
              </w:rPr>
              <w:t>Local partner with live clinic, Community Reach, and FCHIP that feeds government</w:t>
            </w:r>
          </w:p>
        </w:tc>
      </w:tr>
      <w:tr>
        <w:tc>
          <w:tcPr>
            <w:tcW w:type="dxa" w:w="4680"/>
          </w:tcPr>
          <w:p>
            <w:r/>
            <w:r>
              <w:rPr>
                <w:rFonts w:ascii="Times New Roman" w:hAnsi="Times New Roman" w:eastAsia="Times New Roman"/>
                <w:b w:val="0"/>
                <w:i w:val="0"/>
                <w:color w:val="1E2F38"/>
                <w:sz w:val="20"/>
              </w:rPr>
              <w:t>Communities</w:t>
            </w:r>
          </w:p>
        </w:tc>
        <w:tc>
          <w:tcPr>
            <w:tcW w:type="dxa" w:w="4680"/>
          </w:tcPr>
          <w:p>
            <w:r/>
            <w:r>
              <w:rPr>
                <w:rFonts w:ascii="Times New Roman" w:hAnsi="Times New Roman" w:eastAsia="Times New Roman"/>
                <w:b w:val="0"/>
                <w:i w:val="0"/>
                <w:color w:val="1E2F38"/>
                <w:sz w:val="20"/>
              </w:rPr>
              <w:t>Earlier alerts and clearer referral paths when something looks wrong</w:t>
            </w:r>
          </w:p>
        </w:tc>
      </w:tr>
    </w:tbl>
    <w:p/>
    <w:p>
      <w:pPr>
        <w:spacing w:after="120" w:before="0"/>
      </w:pPr>
      <w:r>
        <w:rPr>
          <w:rFonts w:ascii="Times New Roman" w:hAnsi="Times New Roman" w:eastAsia="Times New Roman"/>
          <w:b w:val="0"/>
          <w:i w:val="0"/>
          <w:color w:val="1E2F38"/>
          <w:sz w:val="24"/>
        </w:rPr>
        <w:t>CDC and Uganda need outbreaks stopped closer to where people live. FairBanks already runs a clinic, CHW/VHT outreach, and working FCHIP tools — ready to feed MoH/NISS pathways under government leadership.</w:t>
      </w:r>
    </w:p>
    <w:p>
      <w:pPr>
        <w:spacing w:after="160" w:before="0"/>
      </w:pPr>
      <w:r>
        <w:rPr>
          <w:rFonts w:ascii="Times New Roman" w:hAnsi="Times New Roman" w:eastAsia="Times New Roman"/>
          <w:b/>
          <w:i w:val="0"/>
          <w:color w:val="1E2F38"/>
          <w:sz w:val="24"/>
        </w:rPr>
        <w:t>Project abstract summary</w:t>
      </w:r>
    </w:p>
    <w:p>
      <w:pPr>
        <w:spacing w:after="120" w:before="0"/>
      </w:pPr>
      <w:r>
        <w:rPr>
          <w:rFonts w:ascii="Times New Roman" w:hAnsi="Times New Roman" w:eastAsia="Times New Roman"/>
          <w:b w:val="0"/>
          <w:i w:val="0"/>
          <w:color w:val="1E2F38"/>
          <w:sz w:val="24"/>
        </w:rPr>
        <w:t>FAIRBANKS MEDICAL CENTRE LIMITED (FairBanks Medical Centre) is a Uganda-registered health organisation in Kampala. We run a licensed medical centre and FairBanks Community Reach with CHWs and VHTs in Bukoto, Kyebando, Kisaasi, Kamwokya, Kikaaya and nearby communities. Slogan: Your health, our mission. Uganda’s 2023 Joint External Evaluation still flags last-mile gaps: community and facility signals that reach decision-makers too late; limited surge-ready workforce at subnational level; and incomplete links into national surveillance and emergency structures, including National Integrated Surveillance System (NISS) pathways. Under Ministry of Health leadership, Year 1 Component 1 will (1) strengthen community and facility surveillance that contributes to MoH/NISS channels using FairBanks FCHIP tools, (2) speed community-to-district detection and response using 7-1-7 style timing, (3) train CHWs/VHTs and frontline workers for One Health–aware surveillance and surge readiness, and (4) tighten community–facility links for priority diseases during routine work and outbreaks. Laboratory and border-health modules will be delivered with MoH-aligned partners. Components 2–5 are contingency surge plans that may be approved but unfunded until CDC activates emergency funding. Shared result: threats found and acted on closer to source — safer for Uganda and for the United States.</w:t>
      </w:r>
    </w:p>
    <w:p>
      <w:pPr>
        <w:spacing w:after="160" w:before="0"/>
      </w:pPr>
      <w:r>
        <w:rPr>
          <w:rFonts w:ascii="Times New Roman" w:hAnsi="Times New Roman" w:eastAsia="Times New Roman"/>
          <w:b/>
          <w:i w:val="0"/>
          <w:color w:val="1E2F38"/>
          <w:sz w:val="24"/>
        </w:rPr>
        <w:t>1. Background and approach — problem</w:t>
      </w:r>
    </w:p>
    <w:p>
      <w:pPr>
        <w:spacing w:after="120" w:before="0"/>
      </w:pPr>
      <w:r>
        <w:rPr>
          <w:rFonts w:ascii="Times New Roman" w:hAnsi="Times New Roman" w:eastAsia="Times New Roman"/>
          <w:b w:val="0"/>
          <w:i w:val="0"/>
          <w:color w:val="1E2F38"/>
          <w:sz w:val="24"/>
        </w:rPr>
        <w:t>Uganda faces repeated infectious disease threats shaped by geography, rapid urban growth, and high population movement. Outbreaks that start in peri-urban communities can grow before national systems see them. Americans and Ugandans are safer when threats are found and contained close to source.</w:t>
      </w:r>
    </w:p>
    <w:p>
      <w:pPr>
        <w:spacing w:after="120" w:before="0"/>
      </w:pPr>
      <w:r>
        <w:rPr>
          <w:rFonts w:ascii="Times New Roman" w:hAnsi="Times New Roman" w:eastAsia="Times New Roman"/>
          <w:b w:val="0"/>
          <w:i w:val="0"/>
          <w:color w:val="1E2F38"/>
          <w:sz w:val="24"/>
        </w:rPr>
        <w:t>In FairBanks catchments, CHWs and VHTs already visit homes and schools, and the Medical Centre sees patients every day. Too often, community reports, clinic records, and lab referrals still sit apart. The 2023 JEE praised progress and still named gaps in information sharing, subnational surge capacity, and use of data for early action — including the need for stronger integrated surveillance such as NISS.</w:t>
      </w:r>
    </w:p>
    <w:p>
      <w:pPr>
        <w:spacing w:after="120" w:before="0"/>
      </w:pPr>
      <w:r>
        <w:rPr>
          <w:rFonts w:ascii="Times New Roman" w:hAnsi="Times New Roman" w:eastAsia="Times New Roman"/>
          <w:b w:val="0"/>
          <w:i w:val="0"/>
          <w:color w:val="1E2F38"/>
          <w:sz w:val="24"/>
        </w:rPr>
        <w:t>FairBanks proposes to close the last-mile gap under MoH leadership: structured community and facility signals, faster notify–respond loops with districts, trained frontline workers, and tools that feed government systems rather than create a parallel silo.</w:t>
      </w:r>
    </w:p>
    <w:p>
      <w:pPr>
        <w:spacing w:after="160" w:before="0"/>
      </w:pPr>
      <w:r>
        <w:rPr>
          <w:rFonts w:ascii="Times New Roman" w:hAnsi="Times New Roman" w:eastAsia="Times New Roman"/>
          <w:b/>
          <w:i w:val="0"/>
          <w:color w:val="1E2F38"/>
          <w:sz w:val="24"/>
        </w:rPr>
        <w:t>2. Approach and FairBanks model</w:t>
      </w:r>
    </w:p>
    <w:p>
      <w:pPr>
        <w:spacing w:after="120" w:before="0"/>
      </w:pPr>
      <w:r>
        <w:rPr>
          <w:rFonts w:ascii="Times New Roman" w:hAnsi="Times New Roman" w:eastAsia="Times New Roman"/>
          <w:b w:val="0"/>
          <w:i w:val="0"/>
          <w:color w:val="1E2F38"/>
          <w:sz w:val="24"/>
        </w:rPr>
        <w:t>CDC and Uganda need outbreaks stopped closer to where people live. FairBanks already runs a clinic, CHW/VHT outreach, and working FCHIP tools — ready to feed MoH/NISS pathways under government leadership.</w:t>
      </w:r>
    </w:p>
    <w:p>
      <w:pPr>
        <w:spacing w:after="120" w:before="0"/>
      </w:pPr>
      <w:r>
        <w:rPr>
          <w:rFonts w:ascii="Times New Roman" w:hAnsi="Times New Roman" w:eastAsia="Times New Roman"/>
          <w:b w:val="0"/>
          <w:i w:val="0"/>
          <w:color w:val="1E2F38"/>
          <w:sz w:val="24"/>
        </w:rPr>
        <w:t>FairBanks Community Reach cascade stays the operating model: community members -&gt; CHWs/VHTs -&gt; Community Reach programmes -&gt; Medical Centre -&gt; research and skills -&gt; economic empowerment. FCHIP is the intelligence component on the Data &amp; Feedback loop.</w:t>
      </w:r>
    </w:p>
    <w:p>
      <w:pPr>
        <w:spacing w:after="120" w:before="0"/>
      </w:pPr>
      <w:r>
        <w:rPr>
          <w:rFonts w:ascii="Times New Roman" w:hAnsi="Times New Roman" w:eastAsia="Times New Roman"/>
          <w:b w:val="0"/>
          <w:i w:val="0"/>
          <w:color w:val="1E2F38"/>
          <w:sz w:val="24"/>
        </w:rPr>
        <w:t>Award funds will support surveillance systems, training, emergency readiness, data linkages, and public health programme coordination. Routine clinical care continues on FairBanks’ own operations and is not the purpose of this cooperative agreement.</w:t>
      </w:r>
    </w:p>
    <w:p>
      <w:pPr>
        <w:spacing w:after="120" w:before="0"/>
      </w:pPr>
      <w:r>
        <w:rPr>
          <w:rFonts w:ascii="Times New Roman" w:hAnsi="Times New Roman" w:eastAsia="Times New Roman"/>
          <w:b w:val="0"/>
          <w:i w:val="0"/>
          <w:color w:val="1E2F38"/>
          <w:sz w:val="24"/>
        </w:rPr>
        <w:t>We will collaborate with MoH, district/KCCA teams, other CDC partners, and community structures. Software, SOPs, and training materials developed under the award will be available to MoH and CDC for appropriate use.</w:t>
      </w:r>
    </w:p>
    <w:p>
      <w:r>
        <w:drawing>
          <wp:inline xmlns:a="http://schemas.openxmlformats.org/drawingml/2006/main" xmlns:pic="http://schemas.openxmlformats.org/drawingml/2006/picture">
            <wp:extent cx="5486400" cy="7540371"/>
            <wp:docPr id="2" name="Picture 2"/>
            <wp:cNvGraphicFramePr>
              <a:graphicFrameLocks noChangeAspect="1"/>
            </wp:cNvGraphicFramePr>
            <a:graphic>
              <a:graphicData uri="http://schemas.openxmlformats.org/drawingml/2006/picture">
                <pic:pic>
                  <pic:nvPicPr>
                    <pic:cNvPr id="0" name="concept_improved.jpeg"/>
                    <pic:cNvPicPr/>
                  </pic:nvPicPr>
                  <pic:blipFill>
                    <a:blip r:embed="rId10"/>
                    <a:stretch>
                      <a:fillRect/>
                    </a:stretch>
                  </pic:blipFill>
                  <pic:spPr>
                    <a:xfrm>
                      <a:off x="0" y="0"/>
                      <a:ext cx="5486400" cy="7540371"/>
                    </a:xfrm>
                    <a:prstGeom prst="rect"/>
                  </pic:spPr>
                </pic:pic>
              </a:graphicData>
            </a:graphic>
          </wp:inline>
        </w:drawing>
      </w:r>
    </w:p>
    <w:p>
      <w:pPr>
        <w:jc w:val="center"/>
      </w:pPr>
      <w:r>
        <w:rPr>
          <w:rFonts w:ascii="Times New Roman" w:hAnsi="Times New Roman" w:eastAsia="Times New Roman"/>
          <w:b w:val="0"/>
          <w:i/>
          <w:color w:val="52636C"/>
          <w:sz w:val="20"/>
        </w:rPr>
        <w:t>Figure: FairBanks Community Reach operating model</w:t>
      </w:r>
    </w:p>
    <w:p>
      <w:pPr>
        <w:spacing w:after="160" w:before="0"/>
      </w:pPr>
      <w:r>
        <w:rPr>
          <w:rFonts w:ascii="Times New Roman" w:hAnsi="Times New Roman" w:eastAsia="Times New Roman"/>
          <w:b/>
          <w:i w:val="0"/>
          <w:color w:val="1E2F38"/>
          <w:sz w:val="24"/>
        </w:rPr>
        <w:t>3. Year 1 strategies and activities (Component 1)</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Strategy</w:t>
            </w:r>
          </w:p>
        </w:tc>
        <w:tc>
          <w:tcPr>
            <w:tcW w:type="dxa" w:w="4680"/>
            <w:shd w:fill="F7F5F0"/>
          </w:tcPr>
          <w:p>
            <w:r/>
            <w:r>
              <w:rPr>
                <w:rFonts w:ascii="Times New Roman" w:hAnsi="Times New Roman" w:eastAsia="Times New Roman"/>
                <w:b/>
                <w:i w:val="0"/>
                <w:color w:val="1E2F38"/>
                <w:sz w:val="20"/>
              </w:rPr>
              <w:t>FairBanks Year 1 focus</w:t>
            </w:r>
          </w:p>
        </w:tc>
      </w:tr>
      <w:tr>
        <w:tc>
          <w:tcPr>
            <w:tcW w:type="dxa" w:w="4680"/>
          </w:tcPr>
          <w:p>
            <w:r/>
            <w:r>
              <w:rPr>
                <w:rFonts w:ascii="Times New Roman" w:hAnsi="Times New Roman" w:eastAsia="Times New Roman"/>
                <w:b w:val="0"/>
                <w:i w:val="0"/>
                <w:color w:val="1E2F38"/>
                <w:sz w:val="20"/>
              </w:rPr>
              <w:t>1 Emergency management</w:t>
            </w:r>
          </w:p>
        </w:tc>
        <w:tc>
          <w:tcPr>
            <w:tcW w:type="dxa" w:w="4680"/>
          </w:tcPr>
          <w:p>
            <w:r/>
            <w:r>
              <w:rPr>
                <w:rFonts w:ascii="Times New Roman" w:hAnsi="Times New Roman" w:eastAsia="Times New Roman"/>
                <w:b w:val="0"/>
                <w:i w:val="0"/>
                <w:color w:val="1E2F38"/>
                <w:sz w:val="20"/>
              </w:rPr>
              <w:t>District notification SOPs, 7-1-7 drills, catchment IMS practice, AARs</w:t>
            </w:r>
          </w:p>
        </w:tc>
      </w:tr>
      <w:tr>
        <w:tc>
          <w:tcPr>
            <w:tcW w:type="dxa" w:w="4680"/>
          </w:tcPr>
          <w:p>
            <w:r/>
            <w:r>
              <w:rPr>
                <w:rFonts w:ascii="Times New Roman" w:hAnsi="Times New Roman" w:eastAsia="Times New Roman"/>
                <w:b w:val="0"/>
                <w:i w:val="0"/>
                <w:color w:val="1E2F38"/>
                <w:sz w:val="20"/>
              </w:rPr>
              <w:t>2 Workforce</w:t>
            </w:r>
          </w:p>
        </w:tc>
        <w:tc>
          <w:tcPr>
            <w:tcW w:type="dxa" w:w="4680"/>
          </w:tcPr>
          <w:p>
            <w:r/>
            <w:r>
              <w:rPr>
                <w:rFonts w:ascii="Times New Roman" w:hAnsi="Times New Roman" w:eastAsia="Times New Roman"/>
                <w:b w:val="0"/>
                <w:i w:val="0"/>
                <w:color w:val="1E2F38"/>
                <w:sz w:val="20"/>
              </w:rPr>
              <w:t>CHW/VHT and facility training; surge roster; One Health–aware sessions with districts</w:t>
            </w:r>
          </w:p>
        </w:tc>
      </w:tr>
      <w:tr>
        <w:tc>
          <w:tcPr>
            <w:tcW w:type="dxa" w:w="4680"/>
          </w:tcPr>
          <w:p>
            <w:r/>
            <w:r>
              <w:rPr>
                <w:rFonts w:ascii="Times New Roman" w:hAnsi="Times New Roman" w:eastAsia="Times New Roman"/>
                <w:b w:val="0"/>
                <w:i w:val="0"/>
                <w:color w:val="1E2F38"/>
                <w:sz w:val="20"/>
              </w:rPr>
              <w:t>3 Laboratory (support)</w:t>
            </w:r>
          </w:p>
        </w:tc>
        <w:tc>
          <w:tcPr>
            <w:tcW w:type="dxa" w:w="4680"/>
          </w:tcPr>
          <w:p>
            <w:r/>
            <w:r>
              <w:rPr>
                <w:rFonts w:ascii="Times New Roman" w:hAnsi="Times New Roman" w:eastAsia="Times New Roman"/>
                <w:b w:val="0"/>
                <w:i w:val="0"/>
                <w:color w:val="1E2F38"/>
                <w:sz w:val="20"/>
              </w:rPr>
              <w:t>Sample referral pathways; private-facility incident reporting support; biosafety basics</w:t>
            </w:r>
          </w:p>
        </w:tc>
      </w:tr>
      <w:tr>
        <w:tc>
          <w:tcPr>
            <w:tcW w:type="dxa" w:w="4680"/>
          </w:tcPr>
          <w:p>
            <w:r/>
            <w:r>
              <w:rPr>
                <w:rFonts w:ascii="Times New Roman" w:hAnsi="Times New Roman" w:eastAsia="Times New Roman"/>
                <w:b w:val="0"/>
                <w:i w:val="0"/>
                <w:color w:val="1E2F38"/>
                <w:sz w:val="20"/>
              </w:rPr>
              <w:t>4 Surveillance</w:t>
            </w:r>
          </w:p>
        </w:tc>
        <w:tc>
          <w:tcPr>
            <w:tcW w:type="dxa" w:w="4680"/>
          </w:tcPr>
          <w:p>
            <w:r/>
            <w:r>
              <w:rPr>
                <w:rFonts w:ascii="Times New Roman" w:hAnsi="Times New Roman" w:eastAsia="Times New Roman"/>
                <w:b w:val="0"/>
                <w:i w:val="0"/>
                <w:color w:val="1E2F38"/>
                <w:sz w:val="20"/>
              </w:rPr>
              <w:t>FCHIP capture -&gt; MoH/NISS-aligned exports; data quality; simple GIS early warning</w:t>
            </w:r>
          </w:p>
        </w:tc>
      </w:tr>
      <w:tr>
        <w:tc>
          <w:tcPr>
            <w:tcW w:type="dxa" w:w="4680"/>
          </w:tcPr>
          <w:p>
            <w:r/>
            <w:r>
              <w:rPr>
                <w:rFonts w:ascii="Times New Roman" w:hAnsi="Times New Roman" w:eastAsia="Times New Roman"/>
                <w:b w:val="0"/>
                <w:i w:val="0"/>
                <w:color w:val="1E2F38"/>
                <w:sz w:val="20"/>
              </w:rPr>
              <w:t>5 Border health (support)</w:t>
            </w:r>
          </w:p>
        </w:tc>
        <w:tc>
          <w:tcPr>
            <w:tcW w:type="dxa" w:w="4680"/>
          </w:tcPr>
          <w:p>
            <w:r/>
            <w:r>
              <w:rPr>
                <w:rFonts w:ascii="Times New Roman" w:hAnsi="Times New Roman" w:eastAsia="Times New Roman"/>
                <w:b w:val="0"/>
                <w:i w:val="0"/>
                <w:color w:val="1E2F38"/>
                <w:sz w:val="20"/>
              </w:rPr>
              <w:t>RCCE and signal sharing for high-mobility corridors with MoH partners</w:t>
            </w:r>
          </w:p>
        </w:tc>
      </w:tr>
      <w:tr>
        <w:tc>
          <w:tcPr>
            <w:tcW w:type="dxa" w:w="4680"/>
          </w:tcPr>
          <w:p>
            <w:r/>
            <w:r>
              <w:rPr>
                <w:rFonts w:ascii="Times New Roman" w:hAnsi="Times New Roman" w:eastAsia="Times New Roman"/>
                <w:b w:val="0"/>
                <w:i w:val="0"/>
                <w:color w:val="1E2F38"/>
                <w:sz w:val="20"/>
              </w:rPr>
              <w:t>6 Public health programmes</w:t>
            </w:r>
          </w:p>
        </w:tc>
        <w:tc>
          <w:tcPr>
            <w:tcW w:type="dxa" w:w="4680"/>
          </w:tcPr>
          <w:p>
            <w:r/>
            <w:r>
              <w:rPr>
                <w:rFonts w:ascii="Times New Roman" w:hAnsi="Times New Roman" w:eastAsia="Times New Roman"/>
                <w:b w:val="0"/>
                <w:i w:val="0"/>
                <w:color w:val="1E2F38"/>
                <w:sz w:val="20"/>
              </w:rPr>
              <w:t>Community–facility links for HIV, TB, malaria, VHFs, mpox, immunisation campaigns</w:t>
            </w:r>
          </w:p>
        </w:tc>
      </w:tr>
    </w:tbl>
    <w:p/>
    <w:p>
      <w:pPr>
        <w:spacing w:after="160" w:before="0"/>
      </w:pPr>
      <w:r>
        <w:rPr>
          <w:rFonts w:ascii="Times New Roman" w:hAnsi="Times New Roman" w:eastAsia="Times New Roman"/>
          <w:b/>
          <w:i w:val="0"/>
          <w:color w:val="1E2F38"/>
          <w:sz w:val="24"/>
        </w:rPr>
        <w:t>4. Anticipated outcomes</w:t>
      </w:r>
    </w:p>
    <w:tbl>
      <w:tblPr>
        <w:tblStyle w:val="TableGrid"/>
        <w:tblW w:type="auto" w:w="0"/>
        <w:tblLook w:firstColumn="1" w:firstRow="1" w:lastColumn="0" w:lastRow="0" w:noHBand="0" w:noVBand="1" w:val="04A0"/>
      </w:tblPr>
      <w:tblGrid>
        <w:gridCol w:w="4680"/>
        <w:gridCol w:w="4680"/>
      </w:tblGrid>
      <w:tr>
        <w:tc>
          <w:tcPr>
            <w:tcW w:type="dxa" w:w="4680"/>
            <w:shd w:fill="F7F5F0"/>
          </w:tcPr>
          <w:p>
            <w:r/>
            <w:r>
              <w:rPr>
                <w:rFonts w:ascii="Times New Roman" w:hAnsi="Times New Roman" w:eastAsia="Times New Roman"/>
                <w:b/>
                <w:i w:val="0"/>
                <w:color w:val="1E2F38"/>
                <w:sz w:val="20"/>
              </w:rPr>
              <w:t>Outcome</w:t>
            </w:r>
          </w:p>
        </w:tc>
        <w:tc>
          <w:tcPr>
            <w:tcW w:type="dxa" w:w="4680"/>
            <w:shd w:fill="F7F5F0"/>
          </w:tcPr>
          <w:p>
            <w:r/>
            <w:r>
              <w:rPr>
                <w:rFonts w:ascii="Times New Roman" w:hAnsi="Times New Roman" w:eastAsia="Times New Roman"/>
                <w:b/>
                <w:i w:val="0"/>
                <w:color w:val="1E2F38"/>
                <w:sz w:val="20"/>
              </w:rPr>
              <w:t>What success looks like</w:t>
            </w:r>
          </w:p>
        </w:tc>
      </w:tr>
      <w:tr>
        <w:tc>
          <w:tcPr>
            <w:tcW w:type="dxa" w:w="4680"/>
          </w:tcPr>
          <w:p>
            <w:r/>
            <w:r>
              <w:rPr>
                <w:rFonts w:ascii="Times New Roman" w:hAnsi="Times New Roman" w:eastAsia="Times New Roman"/>
                <w:b w:val="0"/>
                <w:i w:val="0"/>
                <w:color w:val="1E2F38"/>
                <w:sz w:val="20"/>
              </w:rPr>
              <w:t>Faster detection &amp; response</w:t>
            </w:r>
          </w:p>
        </w:tc>
        <w:tc>
          <w:tcPr>
            <w:tcW w:type="dxa" w:w="4680"/>
          </w:tcPr>
          <w:p>
            <w:r/>
            <w:r>
              <w:rPr>
                <w:rFonts w:ascii="Times New Roman" w:hAnsi="Times New Roman" w:eastAsia="Times New Roman"/>
                <w:b w:val="0"/>
                <w:i w:val="0"/>
                <w:color w:val="1E2F38"/>
                <w:sz w:val="20"/>
              </w:rPr>
              <w:t>Shorter time from community signal to district notification (7-1-7 style)</w:t>
            </w:r>
          </w:p>
        </w:tc>
      </w:tr>
      <w:tr>
        <w:tc>
          <w:tcPr>
            <w:tcW w:type="dxa" w:w="4680"/>
          </w:tcPr>
          <w:p>
            <w:r/>
            <w:r>
              <w:rPr>
                <w:rFonts w:ascii="Times New Roman" w:hAnsi="Times New Roman" w:eastAsia="Times New Roman"/>
                <w:b w:val="0"/>
                <w:i w:val="0"/>
                <w:color w:val="1E2F38"/>
                <w:sz w:val="20"/>
              </w:rPr>
              <w:t>Stronger surveillance</w:t>
            </w:r>
          </w:p>
        </w:tc>
        <w:tc>
          <w:tcPr>
            <w:tcW w:type="dxa" w:w="4680"/>
          </w:tcPr>
          <w:p>
            <w:r/>
            <w:r>
              <w:rPr>
                <w:rFonts w:ascii="Times New Roman" w:hAnsi="Times New Roman" w:eastAsia="Times New Roman"/>
                <w:b w:val="0"/>
                <w:i w:val="0"/>
                <w:color w:val="1E2F38"/>
                <w:sz w:val="20"/>
              </w:rPr>
              <w:t>Weekly community reports and successful MoH/NISS-aligned data tests</w:t>
            </w:r>
          </w:p>
        </w:tc>
      </w:tr>
      <w:tr>
        <w:tc>
          <w:tcPr>
            <w:tcW w:type="dxa" w:w="4680"/>
          </w:tcPr>
          <w:p>
            <w:r/>
            <w:r>
              <w:rPr>
                <w:rFonts w:ascii="Times New Roman" w:hAnsi="Times New Roman" w:eastAsia="Times New Roman"/>
                <w:b w:val="0"/>
                <w:i w:val="0"/>
                <w:color w:val="1E2F38"/>
                <w:sz w:val="20"/>
              </w:rPr>
              <w:t>Ready workforce</w:t>
            </w:r>
          </w:p>
        </w:tc>
        <w:tc>
          <w:tcPr>
            <w:tcW w:type="dxa" w:w="4680"/>
          </w:tcPr>
          <w:p>
            <w:r/>
            <w:r>
              <w:rPr>
                <w:rFonts w:ascii="Times New Roman" w:hAnsi="Times New Roman" w:eastAsia="Times New Roman"/>
                <w:b w:val="0"/>
                <w:i w:val="0"/>
                <w:color w:val="1E2F38"/>
                <w:sz w:val="20"/>
              </w:rPr>
              <w:t>Trained CHWs/VHTs and surge roster exercised in drills</w:t>
            </w:r>
          </w:p>
        </w:tc>
      </w:tr>
      <w:tr>
        <w:tc>
          <w:tcPr>
            <w:tcW w:type="dxa" w:w="4680"/>
          </w:tcPr>
          <w:p>
            <w:r/>
            <w:r>
              <w:rPr>
                <w:rFonts w:ascii="Times New Roman" w:hAnsi="Times New Roman" w:eastAsia="Times New Roman"/>
                <w:b w:val="0"/>
                <w:i w:val="0"/>
                <w:color w:val="1E2F38"/>
                <w:sz w:val="20"/>
              </w:rPr>
              <w:t>Better community–facility links</w:t>
            </w:r>
          </w:p>
        </w:tc>
        <w:tc>
          <w:tcPr>
            <w:tcW w:type="dxa" w:w="4680"/>
          </w:tcPr>
          <w:p>
            <w:r/>
            <w:r>
              <w:rPr>
                <w:rFonts w:ascii="Times New Roman" w:hAnsi="Times New Roman" w:eastAsia="Times New Roman"/>
                <w:b w:val="0"/>
                <w:i w:val="0"/>
                <w:color w:val="1E2F38"/>
                <w:sz w:val="20"/>
              </w:rPr>
              <w:t>Documented referral outcomes for priority disease flags</w:t>
            </w:r>
          </w:p>
        </w:tc>
      </w:tr>
      <w:tr>
        <w:tc>
          <w:tcPr>
            <w:tcW w:type="dxa" w:w="4680"/>
          </w:tcPr>
          <w:p>
            <w:r/>
            <w:r>
              <w:rPr>
                <w:rFonts w:ascii="Times New Roman" w:hAnsi="Times New Roman" w:eastAsia="Times New Roman"/>
                <w:b w:val="0"/>
                <w:i w:val="0"/>
                <w:color w:val="1E2F38"/>
                <w:sz w:val="20"/>
              </w:rPr>
              <w:t>Government use</w:t>
            </w:r>
          </w:p>
        </w:tc>
        <w:tc>
          <w:tcPr>
            <w:tcW w:type="dxa" w:w="4680"/>
          </w:tcPr>
          <w:p>
            <w:r/>
            <w:r>
              <w:rPr>
                <w:rFonts w:ascii="Times New Roman" w:hAnsi="Times New Roman" w:eastAsia="Times New Roman"/>
                <w:b w:val="0"/>
                <w:i w:val="0"/>
                <w:color w:val="1E2F38"/>
                <w:sz w:val="20"/>
              </w:rPr>
              <w:t>Tools, SOPs, and data access handed for MoH/CDC use</w:t>
            </w:r>
          </w:p>
        </w:tc>
      </w:tr>
    </w:tbl>
    <w:p/>
    <w:p>
      <w:pPr>
        <w:spacing w:after="160" w:before="0"/>
      </w:pPr>
      <w:r>
        <w:rPr>
          <w:rFonts w:ascii="Times New Roman" w:hAnsi="Times New Roman" w:eastAsia="Times New Roman"/>
          <w:b/>
          <w:i w:val="0"/>
          <w:color w:val="1E2F38"/>
          <w:sz w:val="24"/>
        </w:rPr>
        <w:t>5. Evaluation and performance measurement (summary)</w:t>
      </w:r>
    </w:p>
    <w:p>
      <w:pPr>
        <w:pStyle w:val="ListBullet"/>
      </w:pPr>
      <w:r>
        <w:rPr>
          <w:rFonts w:ascii="Times New Roman" w:hAnsi="Times New Roman" w:eastAsia="Times New Roman"/>
          <w:b w:val="0"/>
          <w:i w:val="0"/>
          <w:color w:val="1E2F38"/>
          <w:sz w:val="24"/>
        </w:rPr>
        <w:t>DGHP partner-level indicators from the FY26 list (surveillance, community mitigation, emergency ops, IPC, lab support) — final set agreed with CDC after award.</w:t>
      </w:r>
    </w:p>
    <w:p>
      <w:pPr>
        <w:pStyle w:val="ListBullet"/>
      </w:pPr>
      <w:r>
        <w:rPr>
          <w:rFonts w:ascii="Times New Roman" w:hAnsi="Times New Roman" w:eastAsia="Times New Roman"/>
          <w:b w:val="0"/>
          <w:i w:val="0"/>
          <w:color w:val="1E2F38"/>
          <w:sz w:val="24"/>
        </w:rPr>
        <w:t>Project measures with Year 1 targets: median days signal-to-notify (toward 7-1-7); at least 80% active CHWs with complete weekly reports by Q4; at least 70% priority referrals documented; at least 2 successful MoH export tests; at least 2 AARs.</w:t>
      </w:r>
    </w:p>
    <w:p>
      <w:pPr>
        <w:pStyle w:val="ListBullet"/>
      </w:pPr>
      <w:r>
        <w:rPr>
          <w:rFonts w:ascii="Times New Roman" w:hAnsi="Times New Roman" w:eastAsia="Times New Roman"/>
          <w:b w:val="0"/>
          <w:i w:val="0"/>
          <w:color w:val="1E2F38"/>
          <w:sz w:val="24"/>
        </w:rPr>
        <w:t>About 5–10% of funds for M&amp;E; detailed EPMP and DMP within six months of award.</w:t>
      </w:r>
    </w:p>
    <w:p>
      <w:pPr>
        <w:spacing w:after="120" w:before="0"/>
      </w:pPr>
      <w:r>
        <w:rPr>
          <w:rFonts w:ascii="Times New Roman" w:hAnsi="Times New Roman" w:eastAsia="Times New Roman"/>
          <w:b w:val="0"/>
          <w:i w:val="0"/>
          <w:color w:val="1E2F38"/>
          <w:sz w:val="24"/>
        </w:rPr>
        <w:t>Full EPMP and DMP text for Grants.gov paste is in application_answers.md (sections D and D7).</w:t>
      </w:r>
    </w:p>
    <w:p>
      <w:pPr>
        <w:spacing w:after="160" w:before="0"/>
      </w:pPr>
      <w:r>
        <w:rPr>
          <w:rFonts w:ascii="Times New Roman" w:hAnsi="Times New Roman" w:eastAsia="Times New Roman"/>
          <w:b/>
          <w:i w:val="0"/>
          <w:color w:val="1E2F38"/>
          <w:sz w:val="24"/>
        </w:rPr>
        <w:t>6. Organizational capacity</w:t>
      </w:r>
    </w:p>
    <w:p>
      <w:pPr>
        <w:pStyle w:val="ListBullet"/>
      </w:pPr>
      <w:r>
        <w:rPr>
          <w:rFonts w:ascii="Times New Roman" w:hAnsi="Times New Roman" w:eastAsia="Times New Roman"/>
          <w:b w:val="0"/>
          <w:i w:val="0"/>
          <w:color w:val="1E2F38"/>
          <w:sz w:val="24"/>
        </w:rPr>
        <w:t>FAIRBANKS MEDICAL CENTRE LIMITED (No. 80020003843337; TIN 1053370026; NSSF NS043295) — Uganda company with principal place of business in Kampala.</w:t>
      </w:r>
    </w:p>
    <w:p>
      <w:pPr>
        <w:pStyle w:val="ListBullet"/>
      </w:pPr>
      <w:r>
        <w:rPr>
          <w:rFonts w:ascii="Times New Roman" w:hAnsi="Times New Roman" w:eastAsia="Times New Roman"/>
          <w:b w:val="0"/>
          <w:i w:val="0"/>
          <w:color w:val="1E2F38"/>
          <w:sz w:val="24"/>
        </w:rPr>
        <w:t>Live Medical Centre and Pharmacy; Community Reach with CHWs/VHTs; working FCHIP MVP.</w:t>
      </w:r>
    </w:p>
    <w:p>
      <w:pPr>
        <w:pStyle w:val="ListBullet"/>
      </w:pPr>
      <w:r>
        <w:rPr>
          <w:rFonts w:ascii="Times New Roman" w:hAnsi="Times New Roman" w:eastAsia="Times New Roman"/>
          <w:b w:val="0"/>
          <w:i w:val="0"/>
          <w:color w:val="1E2F38"/>
          <w:sz w:val="24"/>
        </w:rPr>
        <w:t>Public community base: Kyebando–Kisalosalo, Northern Bypass, Kampala. Catchments include Bukoto, Kyebando, Kisaasi, Kamwokya, Kikaaya.</w:t>
      </w:r>
    </w:p>
    <w:p>
      <w:pPr>
        <w:pStyle w:val="ListBullet"/>
      </w:pPr>
      <w:r>
        <w:rPr>
          <w:rFonts w:ascii="Times New Roman" w:hAnsi="Times New Roman" w:eastAsia="Times New Roman"/>
          <w:b w:val="0"/>
          <w:i w:val="0"/>
          <w:color w:val="1E2F38"/>
          <w:sz w:val="24"/>
        </w:rPr>
        <w:t>Lead: Racheal Nabukeera, Managing Director and Co-founder — 15+ years in Uganda private health leadership; MA Social Sector Planning (Makerere); PhD in progress; Uganda Healthcare Federation links.</w:t>
      </w:r>
    </w:p>
    <w:p>
      <w:pPr>
        <w:pStyle w:val="ListBullet"/>
      </w:pPr>
      <w:r>
        <w:rPr>
          <w:rFonts w:ascii="Times New Roman" w:hAnsi="Times New Roman" w:eastAsia="Times New Roman"/>
          <w:b w:val="0"/>
          <w:i w:val="0"/>
          <w:color w:val="1E2F38"/>
          <w:sz w:val="24"/>
        </w:rPr>
        <w:t>Company evidence pack available (incorporation, TIN, NSSF, licences, insurance) — see company-docs/.</w:t>
      </w:r>
    </w:p>
    <w:p>
      <w:pPr>
        <w:pStyle w:val="ListBullet"/>
      </w:pPr>
      <w:r>
        <w:rPr>
          <w:rFonts w:ascii="Times New Roman" w:hAnsi="Times New Roman" w:eastAsia="Times New Roman"/>
          <w:b w:val="0"/>
          <w:i w:val="0"/>
          <w:color w:val="1E2F38"/>
          <w:sz w:val="24"/>
        </w:rPr>
        <w:t>Honest note: we have not yet been prime on a multi-million CDC GHS award; financial controls and staffing for federal compliance will be strengthened as described in attachments (CONFIRM).</w:t>
      </w:r>
    </w:p>
    <w:p>
      <w:pPr>
        <w:spacing w:after="120" w:before="0"/>
      </w:pPr>
      <w:r>
        <w:rPr>
          <w:rFonts w:ascii="Times New Roman" w:hAnsi="Times New Roman" w:eastAsia="Times New Roman"/>
          <w:b w:val="0"/>
          <w:i w:val="0"/>
          <w:color w:val="1E2F38"/>
          <w:sz w:val="24"/>
        </w:rPr>
        <w:t>Website: https://www.fairbanksmedicalcentre.org/</w:t>
      </w:r>
    </w:p>
    <w:p>
      <w:pPr>
        <w:spacing w:after="120" w:before="0"/>
      </w:pPr>
      <w:r>
        <w:rPr>
          <w:rFonts w:ascii="Times New Roman" w:hAnsi="Times New Roman" w:eastAsia="Times New Roman"/>
          <w:b w:val="0"/>
          <w:i w:val="0"/>
          <w:color w:val="1E2F38"/>
          <w:sz w:val="24"/>
        </w:rPr>
        <w:t>Registered address: Plot 1423 and 1425 Tirupati Road, Fairbanks Medical Centre, Kampala Central Division, Kololo IV, Lugogo, Kampala, Uganda</w:t>
      </w:r>
    </w:p>
    <w:p>
      <w:pPr>
        <w:spacing w:after="160" w:before="0"/>
      </w:pPr>
      <w:r>
        <w:rPr>
          <w:rFonts w:ascii="Times New Roman" w:hAnsi="Times New Roman" w:eastAsia="Times New Roman"/>
          <w:b/>
          <w:i w:val="0"/>
          <w:color w:val="1E2F38"/>
          <w:sz w:val="24"/>
        </w:rPr>
        <w:t>7. Draft Year 1 component budgets (CONFIRM before submit)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F7F5F0"/>
          </w:tcPr>
          <w:p>
            <w:r/>
            <w:r>
              <w:rPr>
                <w:rFonts w:ascii="Times New Roman" w:hAnsi="Times New Roman" w:eastAsia="Times New Roman"/>
                <w:b/>
                <w:i w:val="0"/>
                <w:color w:val="1E2F38"/>
                <w:sz w:val="20"/>
              </w:rPr>
              <w:t>Component</w:t>
            </w:r>
          </w:p>
        </w:tc>
        <w:tc>
          <w:tcPr>
            <w:tcW w:type="dxa" w:w="2340"/>
            <w:shd w:fill="F7F5F0"/>
          </w:tcPr>
          <w:p>
            <w:r/>
            <w:r>
              <w:rPr>
                <w:rFonts w:ascii="Times New Roman" w:hAnsi="Times New Roman" w:eastAsia="Times New Roman"/>
                <w:b/>
                <w:i w:val="0"/>
                <w:color w:val="1E2F38"/>
                <w:sz w:val="20"/>
              </w:rPr>
              <w:t>Draft ask</w:t>
            </w:r>
          </w:p>
        </w:tc>
        <w:tc>
          <w:tcPr>
            <w:tcW w:type="dxa" w:w="2340"/>
            <w:shd w:fill="F7F5F0"/>
          </w:tcPr>
          <w:p>
            <w:r/>
            <w:r>
              <w:rPr>
                <w:rFonts w:ascii="Times New Roman" w:hAnsi="Times New Roman" w:eastAsia="Times New Roman"/>
                <w:b/>
                <w:i w:val="0"/>
                <w:color w:val="1E2F38"/>
                <w:sz w:val="20"/>
              </w:rPr>
              <w:t>Ceiling</w:t>
            </w:r>
          </w:p>
        </w:tc>
        <w:tc>
          <w:tcPr>
            <w:tcW w:type="dxa" w:w="2340"/>
            <w:shd w:fill="F7F5F0"/>
          </w:tcPr>
          <w:p>
            <w:r/>
            <w:r>
              <w:rPr>
                <w:rFonts w:ascii="Times New Roman" w:hAnsi="Times New Roman" w:eastAsia="Times New Roman"/>
                <w:b/>
                <w:i w:val="0"/>
                <w:color w:val="1E2F38"/>
                <w:sz w:val="20"/>
              </w:rPr>
              <w:t>Notes</w:t>
            </w:r>
          </w:p>
        </w:tc>
      </w:tr>
      <w:tr>
        <w:tc>
          <w:tcPr>
            <w:tcW w:type="dxa" w:w="2340"/>
          </w:tcPr>
          <w:p>
            <w:r/>
            <w:r>
              <w:rPr>
                <w:rFonts w:ascii="Times New Roman" w:hAnsi="Times New Roman" w:eastAsia="Times New Roman"/>
                <w:b w:val="0"/>
                <w:i w:val="0"/>
                <w:color w:val="1E2F38"/>
                <w:sz w:val="20"/>
              </w:rPr>
              <w:t>1 Core GHS</w:t>
            </w:r>
          </w:p>
        </w:tc>
        <w:tc>
          <w:tcPr>
            <w:tcW w:type="dxa" w:w="2340"/>
          </w:tcPr>
          <w:p>
            <w:r/>
            <w:r>
              <w:rPr>
                <w:rFonts w:ascii="Times New Roman" w:hAnsi="Times New Roman" w:eastAsia="Times New Roman"/>
                <w:b w:val="0"/>
                <w:i w:val="0"/>
                <w:color w:val="1E2F38"/>
                <w:sz w:val="20"/>
              </w:rPr>
              <w:t>$2,100,000</w:t>
            </w:r>
          </w:p>
        </w:tc>
        <w:tc>
          <w:tcPr>
            <w:tcW w:type="dxa" w:w="2340"/>
          </w:tcPr>
          <w:p>
            <w:r/>
            <w:r>
              <w:rPr>
                <w:rFonts w:ascii="Times New Roman" w:hAnsi="Times New Roman" w:eastAsia="Times New Roman"/>
                <w:b w:val="0"/>
                <w:i w:val="0"/>
                <w:color w:val="1E2F38"/>
                <w:sz w:val="20"/>
              </w:rPr>
              <w:t>$5,000,000</w:t>
            </w:r>
          </w:p>
        </w:tc>
        <w:tc>
          <w:tcPr>
            <w:tcW w:type="dxa" w:w="2340"/>
          </w:tcPr>
          <w:p>
            <w:r/>
            <w:r>
              <w:rPr>
                <w:rFonts w:ascii="Times New Roman" w:hAnsi="Times New Roman" w:eastAsia="Times New Roman"/>
                <w:b w:val="0"/>
                <w:i w:val="0"/>
                <w:color w:val="1E2F38"/>
                <w:sz w:val="20"/>
              </w:rPr>
              <w:t>Expected initial funding</w:t>
            </w:r>
          </w:p>
        </w:tc>
      </w:tr>
      <w:tr>
        <w:tc>
          <w:tcPr>
            <w:tcW w:type="dxa" w:w="2340"/>
          </w:tcPr>
          <w:p>
            <w:r/>
            <w:r>
              <w:rPr>
                <w:rFonts w:ascii="Times New Roman" w:hAnsi="Times New Roman" w:eastAsia="Times New Roman"/>
                <w:b w:val="0"/>
                <w:i w:val="0"/>
                <w:color w:val="1E2F38"/>
                <w:sz w:val="20"/>
              </w:rPr>
              <w:t>2 Small-scale response</w:t>
            </w:r>
          </w:p>
        </w:tc>
        <w:tc>
          <w:tcPr>
            <w:tcW w:type="dxa" w:w="2340"/>
          </w:tcPr>
          <w:p>
            <w:r/>
            <w:r>
              <w:rPr>
                <w:rFonts w:ascii="Times New Roman" w:hAnsi="Times New Roman" w:eastAsia="Times New Roman"/>
                <w:b w:val="0"/>
                <w:i w:val="0"/>
                <w:color w:val="1E2F38"/>
                <w:sz w:val="20"/>
              </w:rPr>
              <w:t>$400,000</w:t>
            </w:r>
          </w:p>
        </w:tc>
        <w:tc>
          <w:tcPr>
            <w:tcW w:type="dxa" w:w="2340"/>
          </w:tcPr>
          <w:p>
            <w:r/>
            <w:r>
              <w:rPr>
                <w:rFonts w:ascii="Times New Roman" w:hAnsi="Times New Roman" w:eastAsia="Times New Roman"/>
                <w:b w:val="0"/>
                <w:i w:val="0"/>
                <w:color w:val="1E2F38"/>
                <w:sz w:val="20"/>
              </w:rPr>
              <w:t>$10,000,000</w:t>
            </w:r>
          </w:p>
        </w:tc>
        <w:tc>
          <w:tcPr>
            <w:tcW w:type="dxa" w:w="2340"/>
          </w:tcPr>
          <w:p>
            <w:r/>
            <w:r>
              <w:rPr>
                <w:rFonts w:ascii="Times New Roman" w:hAnsi="Times New Roman" w:eastAsia="Times New Roman"/>
                <w:b w:val="0"/>
                <w:i w:val="0"/>
                <w:color w:val="1E2F38"/>
                <w:sz w:val="20"/>
              </w:rPr>
              <w:t>Contingency</w:t>
            </w:r>
          </w:p>
        </w:tc>
      </w:tr>
      <w:tr>
        <w:tc>
          <w:tcPr>
            <w:tcW w:type="dxa" w:w="2340"/>
          </w:tcPr>
          <w:p>
            <w:r/>
            <w:r>
              <w:rPr>
                <w:rFonts w:ascii="Times New Roman" w:hAnsi="Times New Roman" w:eastAsia="Times New Roman"/>
                <w:b w:val="0"/>
                <w:i w:val="0"/>
                <w:color w:val="1E2F38"/>
                <w:sz w:val="20"/>
              </w:rPr>
              <w:t>3 Large-scale response</w:t>
            </w:r>
          </w:p>
        </w:tc>
        <w:tc>
          <w:tcPr>
            <w:tcW w:type="dxa" w:w="2340"/>
          </w:tcPr>
          <w:p>
            <w:r/>
            <w:r>
              <w:rPr>
                <w:rFonts w:ascii="Times New Roman" w:hAnsi="Times New Roman" w:eastAsia="Times New Roman"/>
                <w:b w:val="0"/>
                <w:i w:val="0"/>
                <w:color w:val="1E2F38"/>
                <w:sz w:val="20"/>
              </w:rPr>
              <w:t>$500,000</w:t>
            </w:r>
          </w:p>
        </w:tc>
        <w:tc>
          <w:tcPr>
            <w:tcW w:type="dxa" w:w="2340"/>
          </w:tcPr>
          <w:p>
            <w:r/>
            <w:r>
              <w:rPr>
                <w:rFonts w:ascii="Times New Roman" w:hAnsi="Times New Roman" w:eastAsia="Times New Roman"/>
                <w:b w:val="0"/>
                <w:i w:val="0"/>
                <w:color w:val="1E2F38"/>
                <w:sz w:val="20"/>
              </w:rPr>
              <w:t>$15,000,000</w:t>
            </w:r>
          </w:p>
        </w:tc>
        <w:tc>
          <w:tcPr>
            <w:tcW w:type="dxa" w:w="2340"/>
          </w:tcPr>
          <w:p>
            <w:r/>
            <w:r>
              <w:rPr>
                <w:rFonts w:ascii="Times New Roman" w:hAnsi="Times New Roman" w:eastAsia="Times New Roman"/>
                <w:b w:val="0"/>
                <w:i w:val="0"/>
                <w:color w:val="1E2F38"/>
                <w:sz w:val="20"/>
              </w:rPr>
              <w:t>Contingency</w:t>
            </w:r>
          </w:p>
        </w:tc>
      </w:tr>
      <w:tr>
        <w:tc>
          <w:tcPr>
            <w:tcW w:type="dxa" w:w="2340"/>
          </w:tcPr>
          <w:p>
            <w:r/>
            <w:r>
              <w:rPr>
                <w:rFonts w:ascii="Times New Roman" w:hAnsi="Times New Roman" w:eastAsia="Times New Roman"/>
                <w:b w:val="0"/>
                <w:i w:val="0"/>
                <w:color w:val="1E2F38"/>
                <w:sz w:val="20"/>
              </w:rPr>
              <w:t>4 Emerging threats</w:t>
            </w:r>
          </w:p>
        </w:tc>
        <w:tc>
          <w:tcPr>
            <w:tcW w:type="dxa" w:w="2340"/>
          </w:tcPr>
          <w:p>
            <w:r/>
            <w:r>
              <w:rPr>
                <w:rFonts w:ascii="Times New Roman" w:hAnsi="Times New Roman" w:eastAsia="Times New Roman"/>
                <w:b w:val="0"/>
                <w:i w:val="0"/>
                <w:color w:val="1E2F38"/>
                <w:sz w:val="20"/>
              </w:rPr>
              <w:t>$300,000</w:t>
            </w:r>
          </w:p>
        </w:tc>
        <w:tc>
          <w:tcPr>
            <w:tcW w:type="dxa" w:w="2340"/>
          </w:tcPr>
          <w:p>
            <w:r/>
            <w:r>
              <w:rPr>
                <w:rFonts w:ascii="Times New Roman" w:hAnsi="Times New Roman" w:eastAsia="Times New Roman"/>
                <w:b w:val="0"/>
                <w:i w:val="0"/>
                <w:color w:val="1E2F38"/>
                <w:sz w:val="20"/>
              </w:rPr>
              <w:t>$15,000,000</w:t>
            </w:r>
          </w:p>
        </w:tc>
        <w:tc>
          <w:tcPr>
            <w:tcW w:type="dxa" w:w="2340"/>
          </w:tcPr>
          <w:p>
            <w:r/>
            <w:r>
              <w:rPr>
                <w:rFonts w:ascii="Times New Roman" w:hAnsi="Times New Roman" w:eastAsia="Times New Roman"/>
                <w:b w:val="0"/>
                <w:i w:val="0"/>
                <w:color w:val="1E2F38"/>
                <w:sz w:val="20"/>
              </w:rPr>
              <w:t>Contingency</w:t>
            </w:r>
          </w:p>
        </w:tc>
      </w:tr>
      <w:tr>
        <w:tc>
          <w:tcPr>
            <w:tcW w:type="dxa" w:w="2340"/>
          </w:tcPr>
          <w:p>
            <w:r/>
            <w:r>
              <w:rPr>
                <w:rFonts w:ascii="Times New Roman" w:hAnsi="Times New Roman" w:eastAsia="Times New Roman"/>
                <w:b w:val="0"/>
                <w:i w:val="0"/>
                <w:color w:val="1E2F38"/>
                <w:sz w:val="20"/>
              </w:rPr>
              <w:t>TOTAL Year 1 (SF-424A 4 rows)</w:t>
            </w:r>
          </w:p>
        </w:tc>
        <w:tc>
          <w:tcPr>
            <w:tcW w:type="dxa" w:w="2340"/>
          </w:tcPr>
          <w:p>
            <w:r/>
            <w:r>
              <w:rPr>
                <w:rFonts w:ascii="Times New Roman" w:hAnsi="Times New Roman" w:eastAsia="Times New Roman"/>
                <w:b w:val="0"/>
                <w:i w:val="0"/>
                <w:color w:val="1E2F38"/>
                <w:sz w:val="20"/>
              </w:rPr>
              <w:t>$3,300,000</w:t>
            </w:r>
          </w:p>
        </w:tc>
        <w:tc>
          <w:tcPr>
            <w:tcW w:type="dxa" w:w="2340"/>
          </w:tcPr>
          <w:p>
            <w:r/>
            <w:r>
              <w:rPr>
                <w:rFonts w:ascii="Times New Roman" w:hAnsi="Times New Roman" w:eastAsia="Times New Roman"/>
                <w:b w:val="0"/>
                <w:i w:val="0"/>
                <w:color w:val="1E2F38"/>
                <w:sz w:val="20"/>
              </w:rPr>
            </w:r>
          </w:p>
        </w:tc>
        <w:tc>
          <w:tcPr>
            <w:tcW w:type="dxa" w:w="2340"/>
          </w:tcPr>
          <w:p>
            <w:r/>
            <w:r>
              <w:rPr>
                <w:rFonts w:ascii="Times New Roman" w:hAnsi="Times New Roman" w:eastAsia="Times New Roman"/>
                <w:b w:val="0"/>
                <w:i w:val="0"/>
                <w:color w:val="1E2F38"/>
                <w:sz w:val="20"/>
              </w:rPr>
              <w:t>Equals Box 18a</w:t>
            </w:r>
          </w:p>
        </w:tc>
      </w:tr>
    </w:tbl>
    <w:p/>
    <w:p>
      <w:pPr>
        <w:spacing w:after="120" w:before="0"/>
      </w:pPr>
      <w:r>
        <w:rPr>
          <w:rFonts w:ascii="Times New Roman" w:hAnsi="Times New Roman" w:eastAsia="Times New Roman"/>
          <w:b w:val="0"/>
          <w:i w:val="0"/>
          <w:color w:val="1E2F38"/>
          <w:sz w:val="24"/>
        </w:rPr>
        <w:t>Indirect: foreign organisation 8% of MTDC (CONFIRM). Separate SF-424A lines per component. Itemised budget narrative categories: salaries, fringe, travel, equipment, supplies, contractual, other, indirect.</w:t>
      </w:r>
    </w:p>
    <w:p>
      <w:pPr>
        <w:spacing w:after="160" w:before="0"/>
      </w:pPr>
      <w:r>
        <w:rPr>
          <w:rFonts w:ascii="Times New Roman" w:hAnsi="Times New Roman" w:eastAsia="Times New Roman"/>
          <w:b/>
          <w:i w:val="0"/>
          <w:color w:val="1E2F38"/>
          <w:sz w:val="24"/>
        </w:rPr>
        <w:t>8. Pre-submit checklist</w:t>
      </w:r>
    </w:p>
    <w:p>
      <w:pPr>
        <w:pStyle w:val="ListBullet"/>
      </w:pPr>
      <w:r>
        <w:rPr>
          <w:rFonts w:ascii="Times New Roman" w:hAnsi="Times New Roman" w:eastAsia="Times New Roman"/>
          <w:b w:val="0"/>
          <w:i w:val="0"/>
          <w:color w:val="1E2F38"/>
          <w:sz w:val="24"/>
        </w:rPr>
        <w:t>SAM.gov active + UEI for physical location receiving funds (start now)</w:t>
      </w:r>
    </w:p>
    <w:p>
      <w:pPr>
        <w:pStyle w:val="ListBullet"/>
      </w:pPr>
      <w:r>
        <w:rPr>
          <w:rFonts w:ascii="Times New Roman" w:hAnsi="Times New Roman" w:eastAsia="Times New Roman"/>
          <w:b w:val="0"/>
          <w:i w:val="0"/>
          <w:color w:val="1E2F38"/>
          <w:sz w:val="24"/>
        </w:rPr>
        <w:t>Grants.gov / Login.gov active; AOR ready to Sign and Submit</w:t>
      </w:r>
    </w:p>
    <w:p>
      <w:pPr>
        <w:pStyle w:val="ListBullet"/>
      </w:pPr>
      <w:r>
        <w:rPr>
          <w:rFonts w:ascii="Times New Roman" w:hAnsi="Times New Roman" w:eastAsia="Times New Roman"/>
          <w:b w:val="0"/>
          <w:i w:val="0"/>
          <w:color w:val="1E2F38"/>
          <w:sz w:val="24"/>
        </w:rPr>
        <w:t>Follow applicant quick start: https://grants.gov/quick-start-guide/applicants</w:t>
      </w:r>
    </w:p>
    <w:p>
      <w:pPr>
        <w:pStyle w:val="ListBullet"/>
      </w:pPr>
      <w:r>
        <w:rPr>
          <w:rFonts w:ascii="Times New Roman" w:hAnsi="Times New Roman" w:eastAsia="Times New Roman"/>
          <w:b w:val="0"/>
          <w:i w:val="0"/>
          <w:color w:val="1E2F38"/>
          <w:sz w:val="24"/>
        </w:rPr>
        <w:t>Local partner letter + ownership/staff/board citizenship evidence from company-docs/</w:t>
      </w:r>
    </w:p>
    <w:p>
      <w:pPr>
        <w:pStyle w:val="ListBullet"/>
      </w:pPr>
      <w:r>
        <w:rPr>
          <w:rFonts w:ascii="Times New Roman" w:hAnsi="Times New Roman" w:eastAsia="Times New Roman"/>
          <w:b w:val="0"/>
          <w:i w:val="0"/>
          <w:color w:val="1E2F38"/>
          <w:sz w:val="24"/>
        </w:rPr>
        <w:t>Project narrative PDF ≤60 pages; attachments ≤50 pages; English; USD only</w:t>
      </w:r>
    </w:p>
    <w:p>
      <w:pPr>
        <w:pStyle w:val="ListBullet"/>
      </w:pPr>
      <w:r>
        <w:rPr>
          <w:rFonts w:ascii="Times New Roman" w:hAnsi="Times New Roman" w:eastAsia="Times New Roman"/>
          <w:b w:val="0"/>
          <w:i w:val="0"/>
          <w:color w:val="1E2F38"/>
          <w:sz w:val="24"/>
        </w:rPr>
        <w:t>All five components included; no research; clinical care not the award purpose</w:t>
      </w:r>
    </w:p>
    <w:p>
      <w:pPr>
        <w:pStyle w:val="ListBullet"/>
      </w:pPr>
      <w:r>
        <w:rPr>
          <w:rFonts w:ascii="Times New Roman" w:hAnsi="Times New Roman" w:eastAsia="Times New Roman"/>
          <w:b w:val="0"/>
          <w:i w:val="0"/>
          <w:color w:val="1E2F38"/>
          <w:sz w:val="24"/>
        </w:rPr>
        <w:t>Submit by 14 August 2026, 11:59 p.m. ET via Grants.gov</w:t>
      </w:r>
    </w:p>
    <w:p>
      <w:pPr>
        <w:pStyle w:val="ListBullet"/>
      </w:pPr>
      <w:r>
        <w:rPr>
          <w:rFonts w:ascii="Times New Roman" w:hAnsi="Times New Roman" w:eastAsia="Times New Roman"/>
          <w:b w:val="0"/>
          <w:i w:val="0"/>
          <w:color w:val="1E2F38"/>
          <w:sz w:val="24"/>
        </w:rPr>
        <w:t>Official listing: https://www.grants.gov/search-results-detail/360339</w:t>
      </w:r>
    </w:p>
    <w:p>
      <w:pPr>
        <w:pStyle w:val="ListBullet"/>
      </w:pPr>
      <w:r>
        <w:rPr>
          <w:rFonts w:ascii="Times New Roman" w:hAnsi="Times New Roman" w:eastAsia="Times New Roman"/>
          <w:b w:val="0"/>
          <w:i w:val="0"/>
          <w:color w:val="1E2F38"/>
          <w:sz w:val="24"/>
        </w:rPr>
        <w:t>Alt listing: https://simpler.grants.gov/opportunity/264249e6-fdbb-4b1c-ac90-23b7d9b07b1b</w:t>
      </w:r>
    </w:p>
    <w:p>
      <w:pPr>
        <w:spacing w:after="120" w:before="0"/>
      </w:pPr>
      <w:r>
        <w:rPr>
          <w:rFonts w:ascii="Times New Roman" w:hAnsi="Times New Roman" w:eastAsia="Times New Roman"/>
          <w:b w:val="0"/>
          <w:i/>
          <w:color w:val="52636C"/>
          <w:sz w:val="20"/>
        </w:rPr>
        <w:t>Full copy-paste bank: application_answers.md. Generated 2026-08-09.</w:t>
      </w:r>
    </w:p>
    <w:p>
      <w:pPr>
        <w:spacing w:after="120" w:before="0"/>
        <w:jc w:val="center"/>
      </w:pPr>
      <w:r>
        <w:rPr>
          <w:rFonts w:ascii="Times New Roman" w:hAnsi="Times New Roman" w:eastAsia="Times New Roman"/>
          <w:b/>
          <w:i/>
          <w:color w:val="1E2F38"/>
          <w:sz w:val="24"/>
        </w:rPr>
        <w:t>Your health, our 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