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234440" cy="463489"/>
            <wp:docPr id="1" name="Picture 1"/>
            <wp:cNvGraphicFramePr>
              <a:graphicFrameLocks noChangeAspect="1"/>
            </wp:cNvGraphicFramePr>
            <a:graphic>
              <a:graphicData uri="http://schemas.openxmlformats.org/drawingml/2006/picture">
                <pic:pic>
                  <pic:nvPicPr>
                    <pic:cNvPr id="0" name="fairbanks_logo.jpeg"/>
                    <pic:cNvPicPr/>
                  </pic:nvPicPr>
                  <pic:blipFill>
                    <a:blip r:embed="rId9"/>
                    <a:stretch>
                      <a:fillRect/>
                    </a:stretch>
                  </pic:blipFill>
                  <pic:spPr>
                    <a:xfrm>
                      <a:off x="0" y="0"/>
                      <a:ext cx="1234440" cy="463489"/>
                    </a:xfrm>
                    <a:prstGeom prst="rect"/>
                  </pic:spPr>
                </pic:pic>
              </a:graphicData>
            </a:graphic>
          </wp:inline>
        </w:drawing>
      </w:r>
    </w:p>
    <w:p>
      <w:pPr>
        <w:spacing w:after="80" w:before="0" w:line="276" w:lineRule="auto"/>
      </w:pPr>
      <w:r>
        <w:rPr>
          <w:rFonts w:ascii="Calibri" w:hAnsi="Calibri" w:eastAsia="Calibri"/>
          <w:b/>
          <w:i w:val="0"/>
          <w:color w:val="0D6E6E"/>
          <w:sz w:val="24"/>
        </w:rPr>
        <w:t>DPI Safeguards Accelerator 2026</w:t>
      </w:r>
    </w:p>
    <w:p>
      <w:pPr>
        <w:spacing w:after="120" w:before="0" w:line="276" w:lineRule="auto"/>
      </w:pPr>
      <w:r>
        <w:rPr>
          <w:rFonts w:ascii="Calibri" w:hAnsi="Calibri" w:eastAsia="Calibri"/>
          <w:b/>
          <w:i w:val="0"/>
          <w:color w:val="0A1F2E"/>
          <w:sz w:val="44"/>
        </w:rPr>
        <w:t>Safeguards for community health DPI in Uganda</w:t>
      </w:r>
    </w:p>
    <w:p>
      <w:pPr>
        <w:spacing w:after="160" w:before="0" w:line="276" w:lineRule="auto"/>
      </w:pPr>
      <w:r>
        <w:rPr>
          <w:rFonts w:ascii="Calibri" w:hAnsi="Calibri" w:eastAsia="Calibri"/>
          <w:b w:val="0"/>
          <w:i w:val="0"/>
          <w:color w:val="52636C"/>
          <w:sz w:val="24"/>
        </w:rPr>
        <w:t>Issue-specific safeguards on FairBanks FCHIP sectoral digital health infrastructure</w:t>
      </w:r>
    </w:p>
    <w:p>
      <w:pPr>
        <w:spacing w:after="240" w:before="0" w:line="276" w:lineRule="auto"/>
      </w:pPr>
      <w:r>
        <w:rPr>
          <w:rFonts w:ascii="Calibri" w:hAnsi="Calibri" w:eastAsia="Calibri"/>
          <w:b/>
          <w:i w:val="0"/>
          <w:color w:val="C45C26"/>
          <w:sz w:val="22"/>
        </w:rPr>
        <w:t>Your health, our mission.</w:t>
      </w:r>
    </w:p>
    <w:p>
      <w:pPr>
        <w:spacing w:after="200" w:before="0" w:line="276" w:lineRule="auto"/>
      </w:pPr>
      <w:r>
        <w:rPr>
          <w:rFonts w:ascii="Calibri" w:hAnsi="Calibri" w:eastAsia="Calibri"/>
          <w:b w:val="0"/>
          <w:i/>
          <w:color w:val="52636C"/>
          <w:sz w:val="20"/>
        </w:rPr>
        <w:t>Stage 1 answer bank for Airtable · Source check 2026-07-29</w:t>
      </w:r>
    </w:p>
    <w:tbl>
      <w:tblPr>
        <w:tblStyle w:val="TableGrid"/>
        <w:tblW w:type="auto" w:w="0"/>
        <w:tblLook w:firstColumn="1" w:firstRow="1" w:lastColumn="0" w:lastRow="0" w:noHBand="0" w:noVBand="1" w:val="04A0"/>
      </w:tblPr>
      <w:tblGrid>
        <w:gridCol w:w="4968"/>
        <w:gridCol w:w="4968"/>
      </w:tblGrid>
      <w:tr>
        <w:tc>
          <w:tcPr>
            <w:tcW w:type="dxa" w:w="2880"/>
            <w:shd w:fill="0D6E6E" w:val="clear"/>
          </w:tcPr>
          <w:p>
            <w:r/>
            <w:r>
              <w:rPr>
                <w:rFonts w:ascii="Calibri" w:hAnsi="Calibri" w:eastAsia="Calibri"/>
                <w:b/>
                <w:color w:val="FFFFFF"/>
                <w:sz w:val="20"/>
              </w:rPr>
              <w:t>Field</w:t>
            </w:r>
          </w:p>
        </w:tc>
        <w:tc>
          <w:tcPr>
            <w:tcW w:type="dxa" w:w="6624"/>
            <w:shd w:fill="0D6E6E" w:val="clear"/>
          </w:tcPr>
          <w:p>
            <w:r/>
            <w:r>
              <w:rPr>
                <w:rFonts w:ascii="Calibri" w:hAnsi="Calibri" w:eastAsia="Calibri"/>
                <w:b/>
                <w:color w:val="FFFFFF"/>
                <w:sz w:val="20"/>
              </w:rPr>
              <w:t>Value</w:t>
            </w:r>
          </w:p>
        </w:tc>
      </w:tr>
      <w:tr>
        <w:tc>
          <w:tcPr>
            <w:tcW w:type="dxa" w:w="4968"/>
          </w:tcPr>
          <w:p>
            <w:r/>
            <w:r>
              <w:rPr>
                <w:rFonts w:ascii="Calibri" w:hAnsi="Calibri" w:eastAsia="Calibri"/>
                <w:b w:val="0"/>
                <w:color w:val="1E2F38"/>
                <w:sz w:val="20"/>
              </w:rPr>
              <w:t>Organisation</w:t>
            </w:r>
          </w:p>
        </w:tc>
        <w:tc>
          <w:tcPr>
            <w:tcW w:type="dxa" w:w="4968"/>
          </w:tcPr>
          <w:p>
            <w:r/>
            <w:r>
              <w:rPr>
                <w:rFonts w:ascii="Calibri" w:hAnsi="Calibri" w:eastAsia="Calibri"/>
                <w:b w:val="0"/>
                <w:color w:val="1E2F38"/>
                <w:sz w:val="20"/>
              </w:rPr>
              <w:t>FairBanks Medical Centre</w:t>
            </w:r>
          </w:p>
        </w:tc>
      </w:tr>
      <w:tr>
        <w:tc>
          <w:tcPr>
            <w:tcW w:type="dxa" w:w="4968"/>
            <w:shd w:fill="E8F3F2" w:val="clear"/>
          </w:tcPr>
          <w:p>
            <w:r/>
            <w:r>
              <w:rPr>
                <w:rFonts w:ascii="Calibri" w:hAnsi="Calibri" w:eastAsia="Calibri"/>
                <w:b w:val="0"/>
                <w:color w:val="1E2F38"/>
                <w:sz w:val="20"/>
              </w:rPr>
              <w:t>Country</w:t>
            </w:r>
          </w:p>
        </w:tc>
        <w:tc>
          <w:tcPr>
            <w:tcW w:type="dxa" w:w="4968"/>
            <w:shd w:fill="E8F3F2" w:val="clear"/>
          </w:tcPr>
          <w:p>
            <w:r/>
            <w:r>
              <w:rPr>
                <w:rFonts w:ascii="Calibri" w:hAnsi="Calibri" w:eastAsia="Calibri"/>
                <w:b w:val="0"/>
                <w:color w:val="1E2F38"/>
                <w:sz w:val="20"/>
              </w:rPr>
              <w:t>Uganda</w:t>
            </w:r>
          </w:p>
        </w:tc>
      </w:tr>
      <w:tr>
        <w:tc>
          <w:tcPr>
            <w:tcW w:type="dxa" w:w="4968"/>
          </w:tcPr>
          <w:p>
            <w:r/>
            <w:r>
              <w:rPr>
                <w:rFonts w:ascii="Calibri" w:hAnsi="Calibri" w:eastAsia="Calibri"/>
                <w:b w:val="0"/>
                <w:color w:val="1E2F38"/>
                <w:sz w:val="20"/>
              </w:rPr>
              <w:t>Pathway</w:t>
            </w:r>
          </w:p>
        </w:tc>
        <w:tc>
          <w:tcPr>
            <w:tcW w:type="dxa" w:w="4968"/>
          </w:tcPr>
          <w:p>
            <w:r/>
            <w:r>
              <w:rPr>
                <w:rFonts w:ascii="Calibri" w:hAnsi="Calibri" w:eastAsia="Calibri"/>
                <w:b w:val="0"/>
                <w:color w:val="1E2F38"/>
                <w:sz w:val="20"/>
              </w:rPr>
              <w:t>NGO / civil society (single country)</w:t>
            </w:r>
          </w:p>
        </w:tc>
      </w:tr>
      <w:tr>
        <w:tc>
          <w:tcPr>
            <w:tcW w:type="dxa" w:w="4968"/>
            <w:shd w:fill="E8F3F2" w:val="clear"/>
          </w:tcPr>
          <w:p>
            <w:r/>
            <w:r>
              <w:rPr>
                <w:rFonts w:ascii="Calibri" w:hAnsi="Calibri" w:eastAsia="Calibri"/>
                <w:b w:val="0"/>
                <w:color w:val="1E2F38"/>
                <w:sz w:val="20"/>
              </w:rPr>
              <w:t>Track</w:t>
            </w:r>
          </w:p>
        </w:tc>
        <w:tc>
          <w:tcPr>
            <w:tcW w:type="dxa" w:w="4968"/>
            <w:shd w:fill="E8F3F2" w:val="clear"/>
          </w:tcPr>
          <w:p>
            <w:r/>
            <w:r>
              <w:rPr>
                <w:rFonts w:ascii="Calibri" w:hAnsi="Calibri" w:eastAsia="Calibri"/>
                <w:b w:val="0"/>
                <w:color w:val="1E2F38"/>
                <w:sz w:val="20"/>
              </w:rPr>
              <w:t>Issue-specific (+ short system-level risk map)</w:t>
            </w:r>
          </w:p>
        </w:tc>
      </w:tr>
      <w:tr>
        <w:tc>
          <w:tcPr>
            <w:tcW w:type="dxa" w:w="4968"/>
          </w:tcPr>
          <w:p>
            <w:r/>
            <w:r>
              <w:rPr>
                <w:rFonts w:ascii="Calibri" w:hAnsi="Calibri" w:eastAsia="Calibri"/>
                <w:b w:val="0"/>
                <w:color w:val="1E2F38"/>
                <w:sz w:val="20"/>
              </w:rPr>
              <w:t>Draft ask</w:t>
            </w:r>
          </w:p>
        </w:tc>
        <w:tc>
          <w:tcPr>
            <w:tcW w:type="dxa" w:w="4968"/>
          </w:tcPr>
          <w:p>
            <w:r/>
            <w:r>
              <w:rPr>
                <w:rFonts w:ascii="Calibri" w:hAnsi="Calibri" w:eastAsia="Calibri"/>
                <w:b w:val="0"/>
                <w:color w:val="1E2F38"/>
                <w:sz w:val="20"/>
              </w:rPr>
              <w:t>USD 70,000 / 9 months</w:t>
            </w:r>
          </w:p>
        </w:tc>
      </w:tr>
      <w:tr>
        <w:tc>
          <w:tcPr>
            <w:tcW w:type="dxa" w:w="4968"/>
            <w:shd w:fill="E8F3F2" w:val="clear"/>
          </w:tcPr>
          <w:p>
            <w:r/>
            <w:r>
              <w:rPr>
                <w:rFonts w:ascii="Calibri" w:hAnsi="Calibri" w:eastAsia="Calibri"/>
                <w:b w:val="0"/>
                <w:color w:val="1E2F38"/>
                <w:sz w:val="20"/>
              </w:rPr>
              <w:t>Deadline</w:t>
            </w:r>
          </w:p>
        </w:tc>
        <w:tc>
          <w:tcPr>
            <w:tcW w:type="dxa" w:w="4968"/>
            <w:shd w:fill="E8F3F2" w:val="clear"/>
          </w:tcPr>
          <w:p>
            <w:r/>
            <w:r>
              <w:rPr>
                <w:rFonts w:ascii="Calibri" w:hAnsi="Calibri" w:eastAsia="Calibri"/>
                <w:b w:val="0"/>
                <w:color w:val="1E2F38"/>
                <w:sz w:val="20"/>
              </w:rPr>
              <w:t>30 July 2026 (Stage 1 final Wave 3)</w:t>
            </w:r>
          </w:p>
        </w:tc>
      </w:tr>
      <w:tr>
        <w:tc>
          <w:tcPr>
            <w:tcW w:type="dxa" w:w="4968"/>
          </w:tcPr>
          <w:p>
            <w:r/>
            <w:r>
              <w:rPr>
                <w:rFonts w:ascii="Calibri" w:hAnsi="Calibri" w:eastAsia="Calibri"/>
                <w:b w:val="0"/>
                <w:color w:val="1E2F38"/>
                <w:sz w:val="20"/>
              </w:rPr>
              <w:t>Contact</w:t>
            </w:r>
          </w:p>
        </w:tc>
        <w:tc>
          <w:tcPr>
            <w:tcW w:type="dxa" w:w="4968"/>
          </w:tcPr>
          <w:p>
            <w:r/>
            <w:r>
              <w:rPr>
                <w:rFonts w:ascii="Calibri" w:hAnsi="Calibri" w:eastAsia="Calibri"/>
                <w:b w:val="0"/>
                <w:color w:val="1E2F38"/>
                <w:sz w:val="20"/>
              </w:rPr>
              <w:t>Racheal Nabukeera, Managing Director</w:t>
            </w:r>
          </w:p>
        </w:tc>
      </w:tr>
      <w:tr>
        <w:tc>
          <w:tcPr>
            <w:tcW w:type="dxa" w:w="4968"/>
            <w:shd w:fill="E8F3F2" w:val="clear"/>
          </w:tcPr>
          <w:p>
            <w:r/>
            <w:r>
              <w:rPr>
                <w:rFonts w:ascii="Calibri" w:hAnsi="Calibri" w:eastAsia="Calibri"/>
                <w:b w:val="0"/>
                <w:color w:val="1E2F38"/>
                <w:sz w:val="20"/>
              </w:rPr>
              <w:t>Email / phone</w:t>
            </w:r>
          </w:p>
        </w:tc>
        <w:tc>
          <w:tcPr>
            <w:tcW w:type="dxa" w:w="4968"/>
            <w:shd w:fill="E8F3F2" w:val="clear"/>
          </w:tcPr>
          <w:p>
            <w:r/>
            <w:r>
              <w:rPr>
                <w:rFonts w:ascii="Calibri" w:hAnsi="Calibri" w:eastAsia="Calibri"/>
                <w:b w:val="0"/>
                <w:color w:val="1E2F38"/>
                <w:sz w:val="20"/>
              </w:rPr>
              <w:t>info@fairbanksmedicalcentre.org · +256 772 849 258</w:t>
            </w:r>
          </w:p>
        </w:tc>
      </w:tr>
      <w:tr>
        <w:tc>
          <w:tcPr>
            <w:tcW w:type="dxa" w:w="4968"/>
          </w:tcPr>
          <w:p>
            <w:r/>
            <w:r>
              <w:rPr>
                <w:rFonts w:ascii="Calibri" w:hAnsi="Calibri" w:eastAsia="Calibri"/>
                <w:b w:val="0"/>
                <w:color w:val="1E2F38"/>
                <w:sz w:val="20"/>
              </w:rPr>
              <w:t>Website</w:t>
            </w:r>
          </w:p>
        </w:tc>
        <w:tc>
          <w:tcPr>
            <w:tcW w:type="dxa" w:w="4968"/>
          </w:tcPr>
          <w:p>
            <w:r/>
            <w:r>
              <w:rPr>
                <w:rFonts w:ascii="Calibri" w:hAnsi="Calibri" w:eastAsia="Calibri"/>
                <w:b w:val="0"/>
                <w:color w:val="1E2F38"/>
                <w:sz w:val="20"/>
              </w:rPr>
              <w:t>https://fairbanksmedicalcentre.org</w:t>
            </w:r>
          </w:p>
        </w:tc>
      </w:tr>
    </w:tbl>
    <w:p>
      <w:pPr>
        <w:spacing w:before="280" w:after="120"/>
      </w:pPr>
      <w:r>
        <w:rPr>
          <w:rFonts w:ascii="Calibri" w:hAnsi="Calibri" w:eastAsia="Calibri"/>
          <w:b/>
          <w:color w:val="0A1F2E"/>
          <w:sz w:val="32"/>
        </w:rPr>
        <w:t>1. Call facts</w:t>
      </w:r>
    </w:p>
    <w:tbl>
      <w:tblPr>
        <w:tblStyle w:val="TableGrid"/>
        <w:tblW w:type="auto" w:w="0"/>
        <w:tblLook w:firstColumn="1" w:firstRow="1" w:lastColumn="0" w:lastRow="0" w:noHBand="0" w:noVBand="1" w:val="04A0"/>
      </w:tblPr>
      <w:tblGrid>
        <w:gridCol w:w="4968"/>
        <w:gridCol w:w="4968"/>
      </w:tblGrid>
      <w:tr>
        <w:tc>
          <w:tcPr>
            <w:tcW w:type="dxa" w:w="2880"/>
            <w:shd w:fill="0D6E6E" w:val="clear"/>
          </w:tcPr>
          <w:p>
            <w:r/>
            <w:r>
              <w:rPr>
                <w:rFonts w:ascii="Calibri" w:hAnsi="Calibri" w:eastAsia="Calibri"/>
                <w:b/>
                <w:color w:val="FFFFFF"/>
                <w:sz w:val="20"/>
              </w:rPr>
              <w:t>Item</w:t>
            </w:r>
          </w:p>
        </w:tc>
        <w:tc>
          <w:tcPr>
            <w:tcW w:type="dxa" w:w="6624"/>
            <w:shd w:fill="0D6E6E" w:val="clear"/>
          </w:tcPr>
          <w:p>
            <w:r/>
            <w:r>
              <w:rPr>
                <w:rFonts w:ascii="Calibri" w:hAnsi="Calibri" w:eastAsia="Calibri"/>
                <w:b/>
                <w:color w:val="FFFFFF"/>
                <w:sz w:val="20"/>
              </w:rPr>
              <w:t>Detail</w:t>
            </w:r>
          </w:p>
        </w:tc>
      </w:tr>
      <w:tr>
        <w:tc>
          <w:tcPr>
            <w:tcW w:type="dxa" w:w="4968"/>
          </w:tcPr>
          <w:p>
            <w:r/>
            <w:r>
              <w:rPr>
                <w:rFonts w:ascii="Calibri" w:hAnsi="Calibri" w:eastAsia="Calibri"/>
                <w:b w:val="0"/>
                <w:color w:val="1E2F38"/>
                <w:sz w:val="20"/>
              </w:rPr>
              <w:t>Programme</w:t>
            </w:r>
          </w:p>
        </w:tc>
        <w:tc>
          <w:tcPr>
            <w:tcW w:type="dxa" w:w="4968"/>
          </w:tcPr>
          <w:p>
            <w:r/>
            <w:r>
              <w:rPr>
                <w:rFonts w:ascii="Calibri" w:hAnsi="Calibri" w:eastAsia="Calibri"/>
                <w:b w:val="0"/>
                <w:color w:val="1E2F38"/>
                <w:sz w:val="20"/>
              </w:rPr>
              <w:t>DPI Safeguards Accelerator (first cohort)</w:t>
            </w:r>
          </w:p>
        </w:tc>
      </w:tr>
      <w:tr>
        <w:tc>
          <w:tcPr>
            <w:tcW w:type="dxa" w:w="4968"/>
            <w:shd w:fill="E8F3F2" w:val="clear"/>
          </w:tcPr>
          <w:p>
            <w:r/>
            <w:r>
              <w:rPr>
                <w:rFonts w:ascii="Calibri" w:hAnsi="Calibri" w:eastAsia="Calibri"/>
                <w:b w:val="0"/>
                <w:color w:val="1E2F38"/>
                <w:sz w:val="20"/>
              </w:rPr>
              <w:t>Stewards</w:t>
            </w:r>
          </w:p>
        </w:tc>
        <w:tc>
          <w:tcPr>
            <w:tcW w:type="dxa" w:w="4968"/>
            <w:shd w:fill="E8F3F2" w:val="clear"/>
          </w:tcPr>
          <w:p>
            <w:r/>
            <w:r>
              <w:rPr>
                <w:rFonts w:ascii="Calibri" w:hAnsi="Calibri" w:eastAsia="Calibri"/>
                <w:b w:val="0"/>
                <w:color w:val="1E2F38"/>
                <w:sz w:val="20"/>
              </w:rPr>
              <w:t>UN ODET and UNDP; with 50-in-5, OGP, and Co-Develop</w:t>
            </w:r>
          </w:p>
        </w:tc>
      </w:tr>
      <w:tr>
        <w:tc>
          <w:tcPr>
            <w:tcW w:type="dxa" w:w="4968"/>
          </w:tcPr>
          <w:p>
            <w:r/>
            <w:r>
              <w:rPr>
                <w:rFonts w:ascii="Calibri" w:hAnsi="Calibri" w:eastAsia="Calibri"/>
                <w:b w:val="0"/>
                <w:color w:val="1E2F38"/>
                <w:sz w:val="20"/>
              </w:rPr>
              <w:t>Pathway</w:t>
            </w:r>
          </w:p>
        </w:tc>
        <w:tc>
          <w:tcPr>
            <w:tcW w:type="dxa" w:w="4968"/>
          </w:tcPr>
          <w:p>
            <w:r/>
            <w:r>
              <w:rPr>
                <w:rFonts w:ascii="Calibri" w:hAnsi="Calibri" w:eastAsia="Calibri"/>
                <w:b w:val="0"/>
                <w:color w:val="1E2F38"/>
                <w:sz w:val="20"/>
              </w:rPr>
              <w:t>Non-Governmental Organization (NGO) Pathway — Uganda only</w:t>
            </w:r>
          </w:p>
        </w:tc>
      </w:tr>
      <w:tr>
        <w:tc>
          <w:tcPr>
            <w:tcW w:type="dxa" w:w="4968"/>
            <w:shd w:fill="E8F3F2" w:val="clear"/>
          </w:tcPr>
          <w:p>
            <w:r/>
            <w:r>
              <w:rPr>
                <w:rFonts w:ascii="Calibri" w:hAnsi="Calibri" w:eastAsia="Calibri"/>
                <w:b w:val="0"/>
                <w:color w:val="1E2F38"/>
                <w:sz w:val="20"/>
              </w:rPr>
              <w:t>Deadline Stage 1</w:t>
            </w:r>
          </w:p>
        </w:tc>
        <w:tc>
          <w:tcPr>
            <w:tcW w:type="dxa" w:w="4968"/>
            <w:shd w:fill="E8F3F2" w:val="clear"/>
          </w:tcPr>
          <w:p>
            <w:r/>
            <w:r>
              <w:rPr>
                <w:rFonts w:ascii="Calibri" w:hAnsi="Calibri" w:eastAsia="Calibri"/>
                <w:b w:val="0"/>
                <w:color w:val="1E2F38"/>
                <w:sz w:val="20"/>
              </w:rPr>
              <w:t>30 July 2026 (Stage 1 final Wave 3)</w:t>
            </w:r>
          </w:p>
        </w:tc>
      </w:tr>
      <w:tr>
        <w:tc>
          <w:tcPr>
            <w:tcW w:type="dxa" w:w="4968"/>
          </w:tcPr>
          <w:p>
            <w:r/>
            <w:r>
              <w:rPr>
                <w:rFonts w:ascii="Calibri" w:hAnsi="Calibri" w:eastAsia="Calibri"/>
                <w:b w:val="0"/>
                <w:color w:val="1E2F38"/>
                <w:sz w:val="20"/>
              </w:rPr>
              <w:t>Stage 2 (invite only)</w:t>
            </w:r>
          </w:p>
        </w:tc>
        <w:tc>
          <w:tcPr>
            <w:tcW w:type="dxa" w:w="4968"/>
          </w:tcPr>
          <w:p>
            <w:r/>
            <w:r>
              <w:rPr>
                <w:rFonts w:ascii="Calibri" w:hAnsi="Calibri" w:eastAsia="Calibri"/>
                <w:b w:val="0"/>
                <w:color w:val="1E2F38"/>
                <w:sz w:val="20"/>
              </w:rPr>
              <w:t>Detailed proposal + government letter by 15 Aug 2026</w:t>
            </w:r>
          </w:p>
        </w:tc>
      </w:tr>
      <w:tr>
        <w:tc>
          <w:tcPr>
            <w:tcW w:type="dxa" w:w="4968"/>
            <w:shd w:fill="E8F3F2" w:val="clear"/>
          </w:tcPr>
          <w:p>
            <w:r/>
            <w:r>
              <w:rPr>
                <w:rFonts w:ascii="Calibri" w:hAnsi="Calibri" w:eastAsia="Calibri"/>
                <w:b w:val="0"/>
                <w:color w:val="1E2F38"/>
                <w:sz w:val="20"/>
              </w:rPr>
              <w:t>Funding</w:t>
            </w:r>
          </w:p>
        </w:tc>
        <w:tc>
          <w:tcPr>
            <w:tcW w:type="dxa" w:w="4968"/>
            <w:shd w:fill="E8F3F2" w:val="clear"/>
          </w:tcPr>
          <w:p>
            <w:r/>
            <w:r>
              <w:rPr>
                <w:rFonts w:ascii="Calibri" w:hAnsi="Calibri" w:eastAsia="Calibri"/>
                <w:b w:val="0"/>
                <w:color w:val="1E2F38"/>
                <w:sz w:val="20"/>
              </w:rPr>
              <w:t>Catalytic grant up to USD 70,000 (6–9 months)</w:t>
            </w:r>
          </w:p>
        </w:tc>
      </w:tr>
      <w:tr>
        <w:tc>
          <w:tcPr>
            <w:tcW w:type="dxa" w:w="4968"/>
          </w:tcPr>
          <w:p>
            <w:r/>
            <w:r>
              <w:rPr>
                <w:rFonts w:ascii="Calibri" w:hAnsi="Calibri" w:eastAsia="Calibri"/>
                <w:b w:val="0"/>
                <w:color w:val="1E2F38"/>
                <w:sz w:val="20"/>
              </w:rPr>
              <w:t>Draft ask</w:t>
            </w:r>
          </w:p>
        </w:tc>
        <w:tc>
          <w:tcPr>
            <w:tcW w:type="dxa" w:w="4968"/>
          </w:tcPr>
          <w:p>
            <w:r/>
            <w:r>
              <w:rPr>
                <w:rFonts w:ascii="Calibri" w:hAnsi="Calibri" w:eastAsia="Calibri"/>
                <w:b w:val="0"/>
                <w:color w:val="1E2F38"/>
                <w:sz w:val="20"/>
              </w:rPr>
              <w:t>USD 70,000 over 9 months</w:t>
            </w:r>
          </w:p>
        </w:tc>
      </w:tr>
      <w:tr>
        <w:tc>
          <w:tcPr>
            <w:tcW w:type="dxa" w:w="4968"/>
            <w:shd w:fill="E8F3F2" w:val="clear"/>
          </w:tcPr>
          <w:p>
            <w:r/>
            <w:r>
              <w:rPr>
                <w:rFonts w:ascii="Calibri" w:hAnsi="Calibri" w:eastAsia="Calibri"/>
                <w:b w:val="0"/>
                <w:color w:val="1E2F38"/>
                <w:sz w:val="20"/>
              </w:rPr>
              <w:t>Track</w:t>
            </w:r>
          </w:p>
        </w:tc>
        <w:tc>
          <w:tcPr>
            <w:tcW w:type="dxa" w:w="4968"/>
            <w:shd w:fill="E8F3F2" w:val="clear"/>
          </w:tcPr>
          <w:p>
            <w:r/>
            <w:r>
              <w:rPr>
                <w:rFonts w:ascii="Calibri" w:hAnsi="Calibri" w:eastAsia="Calibri"/>
                <w:b w:val="0"/>
                <w:color w:val="1E2F38"/>
                <w:sz w:val="20"/>
              </w:rPr>
              <w:t>Issue-specific safeguards work (with a short system-level risk map)</w:t>
            </w:r>
          </w:p>
        </w:tc>
      </w:tr>
      <w:tr>
        <w:tc>
          <w:tcPr>
            <w:tcW w:type="dxa" w:w="4968"/>
          </w:tcPr>
          <w:p>
            <w:r/>
            <w:r>
              <w:rPr>
                <w:rFonts w:ascii="Calibri" w:hAnsi="Calibri" w:eastAsia="Calibri"/>
                <w:b w:val="0"/>
                <w:color w:val="1E2F38"/>
                <w:sz w:val="20"/>
              </w:rPr>
              <w:t>Submit via</w:t>
            </w:r>
          </w:p>
        </w:tc>
        <w:tc>
          <w:tcPr>
            <w:tcW w:type="dxa" w:w="4968"/>
          </w:tcPr>
          <w:p>
            <w:r/>
            <w:r>
              <w:rPr>
                <w:rFonts w:ascii="Calibri" w:hAnsi="Calibri" w:eastAsia="Calibri"/>
                <w:b w:val="0"/>
                <w:color w:val="1E2F38"/>
                <w:sz w:val="20"/>
              </w:rPr>
              <w:t>https://airtable.com/appcltTa6tzGwskOA/pagJNFsEqox4M5WAU/form</w:t>
            </w:r>
          </w:p>
        </w:tc>
      </w:tr>
    </w:tbl>
    <w:p>
      <w:pPr>
        <w:spacing w:after="160" w:before="0" w:line="276" w:lineRule="auto"/>
      </w:pPr>
      <w:r>
        <w:rPr>
          <w:rFonts w:ascii="Calibri" w:hAnsi="Calibri" w:eastAsia="Calibri"/>
          <w:b w:val="0"/>
          <w:i/>
          <w:color w:val="52636C"/>
          <w:sz w:val="18"/>
        </w:rPr>
        <w:t>Official pages always win if this pack and the form differ. Stage 1 is a concise screening form — not a full proposal.</w:t>
      </w:r>
    </w:p>
    <w:p>
      <w:pPr>
        <w:spacing w:before="280" w:after="120"/>
      </w:pPr>
      <w:r>
        <w:rPr>
          <w:rFonts w:ascii="Calibri" w:hAnsi="Calibri" w:eastAsia="Calibri"/>
          <w:b/>
          <w:color w:val="0A1F2E"/>
          <w:sz w:val="32"/>
        </w:rPr>
        <w:t>2. Submission readiness gates</w:t>
      </w:r>
    </w:p>
    <w:p>
      <w:pPr>
        <w:spacing w:after="160" w:before="0" w:line="276" w:lineRule="auto"/>
      </w:pPr>
      <w:r>
        <w:rPr>
          <w:rFonts w:ascii="Calibri" w:hAnsi="Calibri" w:eastAsia="Calibri"/>
          <w:b w:val="0"/>
          <w:i w:val="0"/>
          <w:color w:val="C45C26"/>
          <w:sz w:val="20"/>
        </w:rPr>
        <w:t>Orange items cannot be guessed. Stage 2 will require legal proof and a government letter.</w:t>
      </w:r>
    </w:p>
    <w:tbl>
      <w:tblPr>
        <w:tblStyle w:val="TableGrid"/>
        <w:tblW w:type="auto" w:w="0"/>
        <w:tblLook w:firstColumn="1" w:firstRow="1" w:lastColumn="0" w:lastRow="0" w:noHBand="0" w:noVBand="1" w:val="04A0"/>
      </w:tblPr>
      <w:tblGrid>
        <w:gridCol w:w="4968"/>
        <w:gridCol w:w="4968"/>
      </w:tblGrid>
      <w:tr>
        <w:tc>
          <w:tcPr>
            <w:tcW w:type="dxa" w:w="5184"/>
            <w:shd w:fill="0D6E6E" w:val="clear"/>
          </w:tcPr>
          <w:p>
            <w:r/>
            <w:r>
              <w:rPr>
                <w:rFonts w:ascii="Calibri" w:hAnsi="Calibri" w:eastAsia="Calibri"/>
                <w:b/>
                <w:color w:val="FFFFFF"/>
                <w:sz w:val="20"/>
              </w:rPr>
              <w:t>Gate</w:t>
            </w:r>
          </w:p>
        </w:tc>
        <w:tc>
          <w:tcPr>
            <w:tcW w:type="dxa" w:w="4320"/>
            <w:shd w:fill="0D6E6E" w:val="clear"/>
          </w:tcPr>
          <w:p>
            <w:r/>
            <w:r>
              <w:rPr>
                <w:rFonts w:ascii="Calibri" w:hAnsi="Calibri" w:eastAsia="Calibri"/>
                <w:b/>
                <w:color w:val="FFFFFF"/>
                <w:sz w:val="20"/>
              </w:rPr>
              <w:t>Status</w:t>
            </w:r>
          </w:p>
        </w:tc>
      </w:tr>
      <w:tr>
        <w:tc>
          <w:tcPr>
            <w:tcW w:type="dxa" w:w="4968"/>
          </w:tcPr>
          <w:p>
            <w:r/>
            <w:r>
              <w:rPr>
                <w:rFonts w:ascii="Calibri" w:hAnsi="Calibri" w:eastAsia="Calibri"/>
                <w:b w:val="0"/>
                <w:color w:val="1E2F38"/>
                <w:sz w:val="20"/>
              </w:rPr>
              <w:t>NGO / CBO / non-profit legal status for NGO pathway</w:t>
            </w:r>
          </w:p>
        </w:tc>
        <w:tc>
          <w:tcPr>
            <w:tcW w:type="dxa" w:w="4968"/>
          </w:tcPr>
          <w:p>
            <w:r/>
            <w:r>
              <w:rPr>
                <w:rFonts w:ascii="Calibri" w:hAnsi="Calibri" w:eastAsia="Calibri"/>
                <w:b w:val="0"/>
                <w:color w:val="1E2F38"/>
                <w:sz w:val="20"/>
              </w:rPr>
              <w:t>[CONFIRM BEFORE SUBMISSION]</w:t>
            </w:r>
          </w:p>
        </w:tc>
      </w:tr>
      <w:tr>
        <w:tc>
          <w:tcPr>
            <w:tcW w:type="dxa" w:w="4968"/>
            <w:shd w:fill="E8F3F2" w:val="clear"/>
          </w:tcPr>
          <w:p>
            <w:r/>
            <w:r>
              <w:rPr>
                <w:rFonts w:ascii="Calibri" w:hAnsi="Calibri" w:eastAsia="Calibri"/>
                <w:b w:val="0"/>
                <w:color w:val="1E2F38"/>
                <w:sz w:val="20"/>
              </w:rPr>
              <w:t>Applicant legal name exactly as on registration documents</w:t>
            </w:r>
          </w:p>
        </w:tc>
        <w:tc>
          <w:tcPr>
            <w:tcW w:type="dxa" w:w="4968"/>
            <w:shd w:fill="E8F3F2" w:val="clear"/>
          </w:tcPr>
          <w:p>
            <w:r/>
            <w:r>
              <w:rPr>
                <w:rFonts w:ascii="Calibri" w:hAnsi="Calibri" w:eastAsia="Calibri"/>
                <w:b w:val="0"/>
                <w:color w:val="1E2F38"/>
                <w:sz w:val="20"/>
              </w:rPr>
              <w:t>[CONFIRM BEFORE SUBMISSION]</w:t>
            </w:r>
          </w:p>
        </w:tc>
      </w:tr>
      <w:tr>
        <w:tc>
          <w:tcPr>
            <w:tcW w:type="dxa" w:w="4968"/>
          </w:tcPr>
          <w:p>
            <w:r/>
            <w:r>
              <w:rPr>
                <w:rFonts w:ascii="Calibri" w:hAnsi="Calibri" w:eastAsia="Calibri"/>
                <w:b w:val="0"/>
                <w:color w:val="1E2F38"/>
                <w:sz w:val="20"/>
              </w:rPr>
              <w:t>Named government counterpart agency and contact</w:t>
            </w:r>
          </w:p>
        </w:tc>
        <w:tc>
          <w:tcPr>
            <w:tcW w:type="dxa" w:w="4968"/>
          </w:tcPr>
          <w:p>
            <w:r/>
            <w:r>
              <w:rPr>
                <w:rFonts w:ascii="Calibri" w:hAnsi="Calibri" w:eastAsia="Calibri"/>
                <w:b w:val="0"/>
                <w:color w:val="1E2F38"/>
                <w:sz w:val="20"/>
              </w:rPr>
              <w:t>[CONFIRM BEFORE SUBMISSION]</w:t>
            </w:r>
          </w:p>
        </w:tc>
      </w:tr>
      <w:tr>
        <w:tc>
          <w:tcPr>
            <w:tcW w:type="dxa" w:w="4968"/>
            <w:shd w:fill="E8F3F2" w:val="clear"/>
          </w:tcPr>
          <w:p>
            <w:r/>
            <w:r>
              <w:rPr>
                <w:rFonts w:ascii="Calibri" w:hAnsi="Calibri" w:eastAsia="Calibri"/>
                <w:b w:val="0"/>
                <w:color w:val="1E2F38"/>
                <w:sz w:val="20"/>
              </w:rPr>
              <w:t>Path to written government support letter for Stage 2</w:t>
            </w:r>
          </w:p>
        </w:tc>
        <w:tc>
          <w:tcPr>
            <w:tcW w:type="dxa" w:w="4968"/>
            <w:shd w:fill="E8F3F2" w:val="clear"/>
          </w:tcPr>
          <w:p>
            <w:r/>
            <w:r>
              <w:rPr>
                <w:rFonts w:ascii="Calibri" w:hAnsi="Calibri" w:eastAsia="Calibri"/>
                <w:b w:val="0"/>
                <w:color w:val="1E2F38"/>
                <w:sz w:val="20"/>
              </w:rPr>
              <w:t>[CONFIRM BEFORE SUBMISSION]</w:t>
            </w:r>
          </w:p>
        </w:tc>
      </w:tr>
      <w:tr>
        <w:tc>
          <w:tcPr>
            <w:tcW w:type="dxa" w:w="4968"/>
          </w:tcPr>
          <w:p>
            <w:r/>
            <w:r>
              <w:rPr>
                <w:rFonts w:ascii="Calibri" w:hAnsi="Calibri" w:eastAsia="Calibri"/>
                <w:b w:val="0"/>
                <w:color w:val="1E2F38"/>
                <w:sz w:val="20"/>
              </w:rPr>
              <w:t>Airtable access (region/VPN if form is blocked)</w:t>
            </w:r>
          </w:p>
        </w:tc>
        <w:tc>
          <w:tcPr>
            <w:tcW w:type="dxa" w:w="4968"/>
          </w:tcPr>
          <w:p>
            <w:r/>
            <w:r>
              <w:rPr>
                <w:rFonts w:ascii="Calibri" w:hAnsi="Calibri" w:eastAsia="Calibri"/>
                <w:b w:val="0"/>
                <w:color w:val="1E2F38"/>
                <w:sz w:val="20"/>
              </w:rPr>
              <w:t>[CONFIRM BEFORE SUBMISSION]</w:t>
            </w:r>
          </w:p>
        </w:tc>
      </w:tr>
      <w:tr>
        <w:tc>
          <w:tcPr>
            <w:tcW w:type="dxa" w:w="4968"/>
            <w:shd w:fill="E8F3F2" w:val="clear"/>
          </w:tcPr>
          <w:p>
            <w:r/>
            <w:r>
              <w:rPr>
                <w:rFonts w:ascii="Calibri" w:hAnsi="Calibri" w:eastAsia="Calibri"/>
                <w:b w:val="0"/>
                <w:color w:val="1E2F38"/>
                <w:sz w:val="20"/>
              </w:rPr>
              <w:t>Lead contact, email, phone, and org website</w:t>
            </w:r>
          </w:p>
        </w:tc>
        <w:tc>
          <w:tcPr>
            <w:tcW w:type="dxa" w:w="4968"/>
            <w:shd w:fill="E8F3F2" w:val="clear"/>
          </w:tcPr>
          <w:p>
            <w:r/>
            <w:r>
              <w:rPr>
                <w:rFonts w:ascii="Calibri" w:hAnsi="Calibri" w:eastAsia="Calibri"/>
                <w:b w:val="0"/>
                <w:color w:val="1E2F38"/>
                <w:sz w:val="20"/>
              </w:rPr>
              <w:t>Racheal Nabukeera; still verify [CONFIRM BEFORE SUBMISSION]</w:t>
            </w:r>
          </w:p>
        </w:tc>
      </w:tr>
      <w:tr>
        <w:tc>
          <w:tcPr>
            <w:tcW w:type="dxa" w:w="4968"/>
          </w:tcPr>
          <w:p>
            <w:r/>
            <w:r>
              <w:rPr>
                <w:rFonts w:ascii="Calibri" w:hAnsi="Calibri" w:eastAsia="Calibri"/>
                <w:b w:val="0"/>
                <w:color w:val="1E2F38"/>
                <w:sz w:val="20"/>
              </w:rPr>
              <w:t>Indicative budget owners and co-funding (if any)</w:t>
            </w:r>
          </w:p>
        </w:tc>
        <w:tc>
          <w:tcPr>
            <w:tcW w:type="dxa" w:w="4968"/>
          </w:tcPr>
          <w:p>
            <w:r/>
            <w:r>
              <w:rPr>
                <w:rFonts w:ascii="Calibri" w:hAnsi="Calibri" w:eastAsia="Calibri"/>
                <w:b w:val="0"/>
                <w:color w:val="1E2F38"/>
                <w:sz w:val="20"/>
              </w:rPr>
              <w:t>[CONFIRM BEFORE SUBMISSION]</w:t>
            </w:r>
          </w:p>
        </w:tc>
      </w:tr>
      <w:tr>
        <w:tc>
          <w:tcPr>
            <w:tcW w:type="dxa" w:w="4968"/>
            <w:shd w:fill="E8F3F2" w:val="clear"/>
          </w:tcPr>
          <w:p>
            <w:r/>
            <w:r>
              <w:rPr>
                <w:rFonts w:ascii="Calibri" w:hAnsi="Calibri" w:eastAsia="Calibri"/>
                <w:b w:val="0"/>
                <w:color w:val="1E2F38"/>
                <w:sz w:val="20"/>
              </w:rPr>
              <w:t>Named CSO / VHT / community champions for co-design</w:t>
            </w:r>
          </w:p>
        </w:tc>
        <w:tc>
          <w:tcPr>
            <w:tcW w:type="dxa" w:w="4968"/>
            <w:shd w:fill="E8F3F2" w:val="clear"/>
          </w:tcPr>
          <w:p>
            <w:r/>
            <w:r>
              <w:rPr>
                <w:rFonts w:ascii="Calibri" w:hAnsi="Calibri" w:eastAsia="Calibri"/>
                <w:b w:val="0"/>
                <w:color w:val="1E2F38"/>
                <w:sz w:val="20"/>
              </w:rPr>
              <w:t>[CONFIRM BEFORE SUBMISSION]</w:t>
            </w:r>
          </w:p>
        </w:tc>
      </w:tr>
    </w:tbl>
    <w:p>
      <w:pPr>
        <w:spacing w:before="280" w:after="120"/>
      </w:pPr>
      <w:r>
        <w:rPr>
          <w:rFonts w:ascii="Calibri" w:hAnsi="Calibri" w:eastAsia="Calibri"/>
          <w:b/>
          <w:color w:val="0A1F2E"/>
          <w:sz w:val="32"/>
        </w:rPr>
        <w:t>3. Win-win positioning</w:t>
      </w:r>
    </w:p>
    <w:p>
      <w:pPr>
        <w:spacing w:after="160" w:before="0" w:line="276" w:lineRule="auto"/>
      </w:pPr>
      <w:r>
        <w:rPr>
          <w:rFonts w:ascii="Calibri" w:hAnsi="Calibri" w:eastAsia="Calibri"/>
          <w:b w:val="0"/>
          <w:i w:val="0"/>
          <w:color w:val="1E2F38"/>
          <w:sz w:val="22"/>
        </w:rPr>
        <w:t>As Uganda expands digital health tools, community and facility data often move without clear consent, inclusion for offline users, or a simple way for people to challenge mistakes. Trust then lags behind technology — and exclusion grows.</w:t>
      </w:r>
    </w:p>
    <w:p>
      <w:pPr>
        <w:spacing w:after="160" w:before="0" w:line="276" w:lineRule="auto"/>
      </w:pPr>
      <w:r>
        <w:rPr>
          <w:rFonts w:ascii="Calibri" w:hAnsi="Calibri" w:eastAsia="Calibri"/>
          <w:b/>
          <w:i w:val="0"/>
          <w:color w:val="1E2F38"/>
          <w:sz w:val="22"/>
        </w:rPr>
        <w:t>Embed three live safeguards into FairBanks' FCHIP sectoral digital health DPI: responsible consent and EMR/HMS data sharing; offline-first inclusion; and a community grievance pathway — co-owned with government and civil society.</w:t>
      </w:r>
    </w:p>
    <w:p>
      <w:pPr>
        <w:pStyle w:val="ListBullet"/>
        <w:spacing w:after="80"/>
      </w:pPr>
      <w:r>
        <w:rPr>
          <w:rFonts w:ascii="Calibri" w:hAnsi="Calibri" w:eastAsia="Calibri"/>
          <w:b w:val="0"/>
          <w:color w:val="1E2F38"/>
          <w:sz w:val="22"/>
        </w:rPr>
        <w:t>Government alignment: Work with a named public health authority on an active digital health deployment; prepare for a Stage 2 commitment letter.</w:t>
      </w:r>
    </w:p>
    <w:p>
      <w:pPr>
        <w:pStyle w:val="ListBullet"/>
        <w:spacing w:after="80"/>
      </w:pPr>
      <w:r>
        <w:rPr>
          <w:rFonts w:ascii="Calibri" w:hAnsi="Calibri" w:eastAsia="Calibri"/>
          <w:b w:val="0"/>
          <w:color w:val="1E2F38"/>
          <w:sz w:val="22"/>
        </w:rPr>
        <w:t>Civil society integration: VHTs, households, and community champions co-design, validate, and monitor — not a one-off consultation.</w:t>
      </w:r>
    </w:p>
    <w:p>
      <w:pPr>
        <w:pStyle w:val="ListBullet"/>
        <w:spacing w:after="80"/>
      </w:pPr>
      <w:r>
        <w:rPr>
          <w:rFonts w:ascii="Calibri" w:hAnsi="Calibri" w:eastAsia="Calibri"/>
          <w:b w:val="0"/>
          <w:color w:val="1E2F38"/>
          <w:sz w:val="22"/>
        </w:rPr>
        <w:t>Tangible outputs: Six operational assets in 9 months, used in live FCHIP workflows and shared as learning for the global Framework.</w:t>
      </w:r>
    </w:p>
    <w:p>
      <w:pPr>
        <w:pStyle w:val="ListBullet"/>
        <w:spacing w:after="80"/>
      </w:pPr>
      <w:r>
        <w:rPr>
          <w:rFonts w:ascii="Calibri" w:hAnsi="Calibri" w:eastAsia="Calibri"/>
          <w:b w:val="0"/>
          <w:color w:val="1E2F38"/>
          <w:sz w:val="22"/>
        </w:rPr>
        <w:t>Framework fit: Maps to Universal DPI Safeguards priorities: inclusion, accountable data use, recourse, multistakeholder governance, and sectoral DPI (digital health).</w:t>
      </w:r>
    </w:p>
    <w:p>
      <w:pPr>
        <w:spacing w:after="160" w:before="0" w:line="276" w:lineRule="auto"/>
      </w:pPr>
      <w:r>
        <w:rPr>
          <w:rFonts w:ascii="Calibri" w:hAnsi="Calibri" w:eastAsia="Calibri"/>
          <w:b w:val="0"/>
          <w:i/>
          <w:color w:val="52636C"/>
          <w:sz w:val="20"/>
        </w:rPr>
        <w:t>Visual model for partners: Community Reach cascade (concept_improved) with FCHIP on Data &amp; Feedback — safeguards close the loop: learn, improve, and serve again.</w:t>
      </w:r>
    </w:p>
    <w:p>
      <w:pPr>
        <w:spacing w:before="280" w:after="120"/>
      </w:pPr>
      <w:r>
        <w:rPr>
          <w:rFonts w:ascii="Calibri" w:hAnsi="Calibri" w:eastAsia="Calibri"/>
          <w:b/>
          <w:color w:val="0A1F2E"/>
          <w:sz w:val="32"/>
        </w:rPr>
        <w:t>4. Stage 1 — Airtable answer bank</w:t>
      </w:r>
    </w:p>
    <w:p>
      <w:pPr>
        <w:spacing w:after="160" w:before="0" w:line="276" w:lineRule="auto"/>
      </w:pPr>
      <w:r>
        <w:rPr>
          <w:rFonts w:ascii="Calibri" w:hAnsi="Calibri" w:eastAsia="Calibri"/>
          <w:b w:val="0"/>
          <w:i/>
          <w:color w:val="52636C"/>
          <w:sz w:val="20"/>
        </w:rPr>
        <w:t>Paste or adapt these blocks into the NGO pathway form. Field labels may vary slightly; match meaning to the official Stage 1 topics listed on the Accelerator page.</w:t>
      </w:r>
    </w:p>
    <w:p>
      <w:pPr>
        <w:spacing w:before="200" w:after="120"/>
      </w:pPr>
      <w:r>
        <w:rPr>
          <w:rFonts w:ascii="Calibri" w:hAnsi="Calibri" w:eastAsia="Calibri"/>
          <w:b/>
          <w:color w:val="0D6E6E"/>
          <w:sz w:val="26"/>
        </w:rPr>
        <w:t>4.1 Organisation, country, and DPI rollout</w:t>
      </w:r>
    </w:p>
    <w:p>
      <w:pPr>
        <w:spacing w:after="160" w:before="0" w:line="276" w:lineRule="auto"/>
      </w:pPr>
      <w:r>
        <w:rPr>
          <w:rFonts w:ascii="Calibri" w:hAnsi="Calibri" w:eastAsia="Calibri"/>
          <w:b w:val="0"/>
          <w:i w:val="0"/>
          <w:color w:val="1E2F38"/>
          <w:sz w:val="22"/>
        </w:rPr>
        <w:t>FairBanks is a community health organisation in Kampala, Uganda. We run a medical centre and FairBanks Community Reach — a six-step cascade linking community members, CHWs and VHTs, outreach programmes, clinical care, research and skills, and economic empowerment including CHIS (community health insurance) and livelihoods. Our active catchments include Bukoto, Kyebando, Kisaasi, Kamwokya, Kikaaya, and surrounding peri-urban communities. FCHIP (FairBanks Community Health Intelligence Platform) is our working MVP digital component on the Data and Feedback loop: offline mobile capture for CHWs/VHTs, multi-source health signals, GIS, climate-aware early warning, facility dashboards, and secure authenticated data APIs so existing EMR/HMS systems can share clinical data into FCHIP in real time without replacing clinic software. Legal entity type and registration evidence: [CONFIRM BEFORE SUBMISSION].</w:t>
      </w:r>
    </w:p>
    <w:p>
      <w:pPr>
        <w:spacing w:before="200" w:after="120"/>
      </w:pPr>
      <w:r>
        <w:rPr>
          <w:rFonts w:ascii="Calibri" w:hAnsi="Calibri" w:eastAsia="Calibri"/>
          <w:b/>
          <w:color w:val="0D6E6E"/>
          <w:sz w:val="26"/>
        </w:rPr>
        <w:t>4.2 Active DPI initiative being supported</w:t>
      </w:r>
    </w:p>
    <w:p>
      <w:pPr>
        <w:spacing w:after="160" w:before="0" w:line="276" w:lineRule="auto"/>
      </w:pPr>
      <w:r>
        <w:rPr>
          <w:rFonts w:ascii="Calibri" w:hAnsi="Calibri" w:eastAsia="Calibri"/>
          <w:b w:val="0"/>
          <w:i w:val="0"/>
          <w:color w:val="1E2F38"/>
          <w:sz w:val="22"/>
        </w:rPr>
        <w:t>The active DPI effort we support is sectoral digital health infrastructure for community-to-facility data exchange in Uganda — not a consumer health app. In practice this is FCHIP as a live deployment layer that connects last-mile CHW/VHT data, school and community outreach signals, FairBanks Medical Centre and partner clinic workflows, and secure EMR/HMS interoperability. This sits alongside Uganda's broader digital health and HMIS/DHIS2 landscape and is designed to strengthen trust, inclusion, and accountable data use as digital health services scale. We treat this as sectoral DPI because it is a shared digital building block for public-interest health services: identity of households for continuity of care (with consent), structured data exchange across actors, and decision support that affects real people. National programme name / MoH digital health alignment wording: [CONFIRM BEFORE SUBMISSION].</w:t>
      </w:r>
    </w:p>
    <w:p>
      <w:pPr>
        <w:spacing w:before="200" w:after="120"/>
      </w:pPr>
      <w:r>
        <w:rPr>
          <w:rFonts w:ascii="Calibri" w:hAnsi="Calibri" w:eastAsia="Calibri"/>
          <w:b/>
          <w:color w:val="0D6E6E"/>
          <w:sz w:val="26"/>
        </w:rPr>
        <w:t>4.3 Government counterpart agency</w:t>
      </w:r>
    </w:p>
    <w:p>
      <w:pPr>
        <w:spacing w:after="160" w:before="0" w:line="276" w:lineRule="auto"/>
      </w:pPr>
      <w:r>
        <w:rPr>
          <w:rFonts w:ascii="Calibri" w:hAnsi="Calibri" w:eastAsia="Calibri"/>
          <w:b w:val="0"/>
          <w:i w:val="0"/>
          <w:color w:val="1E2F38"/>
          <w:sz w:val="22"/>
        </w:rPr>
        <w:t>Intended government counterpart for Stage 1 alignment (must be confirmed): [CONFIRM BEFORE SUBMISSION] (examples to verify — do not submit unconfirmed names: Ministry of Health digital health / community health structures; Kampala Capital City Authority health directorate; or the District Health Office covering FairBanks catchments). We seek a working relationship that can progress to a formal written institutional confirmation for Stage 2 — a commitment letter supporting the safeguards intervention and willingness to participate in the cohort. Current status of endorsement discussions: [CONFIRM BEFORE SUBMISSION].</w:t>
      </w:r>
    </w:p>
    <w:p>
      <w:pPr>
        <w:spacing w:before="200" w:after="120"/>
      </w:pPr>
      <w:r>
        <w:rPr>
          <w:rFonts w:ascii="Calibri" w:hAnsi="Calibri" w:eastAsia="Calibri"/>
          <w:b/>
          <w:color w:val="0D6E6E"/>
          <w:sz w:val="26"/>
        </w:rPr>
        <w:t>4.4 Track focus</w:t>
      </w:r>
    </w:p>
    <w:p>
      <w:pPr>
        <w:spacing w:after="160" w:before="0" w:line="276" w:lineRule="auto"/>
      </w:pPr>
      <w:r>
        <w:rPr>
          <w:rFonts w:ascii="Calibri" w:hAnsi="Calibri" w:eastAsia="Calibri"/>
          <w:b w:val="0"/>
          <w:i w:val="0"/>
          <w:color w:val="1E2F38"/>
          <w:sz w:val="22"/>
        </w:rPr>
        <w:t>Issue-specific safeguards work, with a short system-level risk map to prioritise actions. Over 6–9 months we will advance three concrete safeguards inside the live FCHIP / community health DPI deployment: (1) responsible data use, consent, and least-privilege EMR/HMS data sharing; (2) offline-first inclusion for underserved peri-urban users and frontline workers with limited connectivity or literacy; (3) a practical grievance and recourse pathway for people affected by digital health data use or alerts. The short system-level map will use the Universal DPI Safeguards Framework to show gaps, owners, and sequence — then we execute the three measures.</w:t>
      </w:r>
    </w:p>
    <w:p>
      <w:pPr>
        <w:spacing w:before="200" w:after="120"/>
      </w:pPr>
      <w:r>
        <w:rPr>
          <w:rFonts w:ascii="Calibri" w:hAnsi="Calibri" w:eastAsia="Calibri"/>
          <w:b/>
          <w:color w:val="0D6E6E"/>
          <w:sz w:val="26"/>
        </w:rPr>
        <w:t>4.5 Why this deployment moment is critical</w:t>
      </w:r>
    </w:p>
    <w:p>
      <w:pPr>
        <w:spacing w:after="160" w:before="0" w:line="276" w:lineRule="auto"/>
      </w:pPr>
      <w:r>
        <w:rPr>
          <w:rFonts w:ascii="Calibri" w:hAnsi="Calibri" w:eastAsia="Calibri"/>
          <w:b w:val="0"/>
          <w:i w:val="0"/>
          <w:color w:val="1E2F38"/>
          <w:sz w:val="22"/>
        </w:rPr>
        <w:t>FCHIP already has a working MVP and is moving from build toward field validation inside FairBanks Community Reach. This is the moment when safeguards must be woven into live workflows — consent, API scopes, offline inclusion, and recourse — before habits harden and before EMR/HMS feeds, GIS alerts, and climate-linked early warnings scale. The Universal DPI Safeguards Framework and Accelerator emphasise that 2026–2028 is a crucial window to embed operational safeguards into code, design, governance, and oversight as DPI moves from pilots to population use. Digital health is exactly the kind of sectoral DPI use case the Framework anticipates. Acting now lets Uganda produce a practical, community-rooted safeguards package others can learn from, instead of retrofitting trust after exclusion or privacy harms appear.</w:t>
      </w:r>
    </w:p>
    <w:p>
      <w:pPr>
        <w:spacing w:before="200" w:after="120"/>
      </w:pPr>
      <w:r>
        <w:rPr>
          <w:rFonts w:ascii="Calibri" w:hAnsi="Calibri" w:eastAsia="Calibri"/>
          <w:b/>
          <w:color w:val="0D6E6E"/>
          <w:sz w:val="26"/>
        </w:rPr>
        <w:t>4.6 Expected tangible outputs (6–9 months)</w:t>
      </w:r>
    </w:p>
    <w:p>
      <w:pPr>
        <w:spacing w:after="160" w:before="0" w:line="276" w:lineRule="auto"/>
      </w:pPr>
      <w:r>
        <w:rPr>
          <w:rFonts w:ascii="Calibri" w:hAnsi="Calibri" w:eastAsia="Calibri"/>
          <w:b w:val="0"/>
          <w:i w:val="0"/>
          <w:color w:val="1E2F38"/>
          <w:sz w:val="22"/>
        </w:rPr>
        <w:t>Within the 6–9 month Accelerator cycle we commit to these operational assets: (1) a safeguards risk-and-gap brief for the FCHIP community health data exchange, mapped to Universal DPI Safeguards Framework principles and practices; (2) an operational consent and data-sharing protocol for CHW/VHT capture and secure EMR/HMS APIs (authentication, purpose limitation, least privilege, audit); (3) an inclusion playbook for offline access, low-literacy UX, and reach to women, older people, persons with disabilities, and urban poor households in our catchments; (4) a community grievance / user recourse pathway for data access requests, correction, and alert-related concerns, with named owners and response times; (5) a standing multistakeholder safeguards working group (FairBanks, VHTs/CHWs, facility clinical lead, government liaison, and community champions) with meeting records; (6) a short public learning note suitable for the DPI Safeguards Resource Hub. Success means these assets are used in live workflows — not only written.</w:t>
      </w:r>
    </w:p>
    <w:p>
      <w:pPr>
        <w:spacing w:before="200" w:after="120"/>
      </w:pPr>
      <w:r>
        <w:rPr>
          <w:rFonts w:ascii="Calibri" w:hAnsi="Calibri" w:eastAsia="Calibri"/>
          <w:b/>
          <w:color w:val="0D6E6E"/>
          <w:sz w:val="26"/>
        </w:rPr>
        <w:t>4.7 Coordination model</w:t>
      </w:r>
    </w:p>
    <w:p>
      <w:pPr>
        <w:spacing w:after="160" w:before="0" w:line="276" w:lineRule="auto"/>
      </w:pPr>
      <w:r>
        <w:rPr>
          <w:rFonts w:ascii="Calibri" w:hAnsi="Calibri" w:eastAsia="Calibri"/>
          <w:b w:val="0"/>
          <w:i w:val="0"/>
          <w:color w:val="1E2F38"/>
          <w:sz w:val="22"/>
        </w:rPr>
        <w:t>FairBanks team: product/clinical/data-protection leads implement protocols inside FCHIP and facility workflows; Community Reach coordinators convene field testing. Government counterpart: validates priorities, aligns with national digital health and community health guidance, and participates in the working group ([CONFIRM BEFORE SUBMISSION] named focal point). Civil society and affected users: VHTs/CHWs, community members from Bukoto, Kyebando, Kisaasi, Kamwokya, and Kikaaya, CHIS/livelihood group representatives, and local CSO champions co-design consent language, inclusion tests, and the grievance pathway — with defined roles in validation and monitoring, not one-off consultations. Private/ecosystem: EMR/HMS and facility IT contacts advise on API scopes without replacing existing systems. Rhythm: kick-off workshop; monthly working-group reviews; community listening sessions each quarter; end-of-cycle demo of live safeguards in the deployment.</w:t>
      </w:r>
    </w:p>
    <w:p>
      <w:pPr>
        <w:spacing w:before="200" w:after="120"/>
      </w:pPr>
      <w:r>
        <w:rPr>
          <w:rFonts w:ascii="Calibri" w:hAnsi="Calibri" w:eastAsia="Calibri"/>
          <w:b/>
          <w:color w:val="0D6E6E"/>
          <w:sz w:val="26"/>
        </w:rPr>
        <w:t>4.8 Indicative budget and duration</w:t>
      </w:r>
    </w:p>
    <w:p>
      <w:pPr>
        <w:spacing w:after="160" w:before="0" w:line="276" w:lineRule="auto"/>
      </w:pPr>
      <w:r>
        <w:rPr>
          <w:rFonts w:ascii="Calibri" w:hAnsi="Calibri" w:eastAsia="Calibri"/>
          <w:b w:val="0"/>
          <w:i w:val="0"/>
          <w:color w:val="1E2F38"/>
          <w:sz w:val="22"/>
        </w:rPr>
        <w:t>Indicative request: USD 70,000 catalytic grant over 9 months. This accelerates safeguards mobilisation inside an existing deployment; it does not replace FairBanks' ongoing Community Reach or clinical financing. Approximate allocation (refine in Stage 2): personnel and community stipends for co-design and safeguards facilitation (~40%); technical work to operationalise consent, API controls, offline inclusion, and grievance tooling in the MVP (~30%); workshops, travel within Kampala catchments, translation/printing (~15%); MEL, documentation, and learning products for the Resource Hub (~15%). Co-funding / in-kind: [CONFIRM BEFORE SUBMISSION].</w:t>
      </w:r>
    </w:p>
    <w:p>
      <w:pPr>
        <w:spacing w:before="280" w:after="120"/>
      </w:pPr>
      <w:r>
        <w:rPr>
          <w:rFonts w:ascii="Calibri" w:hAnsi="Calibri" w:eastAsia="Calibri"/>
          <w:b/>
          <w:color w:val="0A1F2E"/>
          <w:sz w:val="32"/>
        </w:rPr>
        <w:t>5. Indicative budget (Stage 1 range)</w:t>
      </w:r>
    </w:p>
    <w:tbl>
      <w:tblPr>
        <w:tblStyle w:val="TableGrid"/>
        <w:tblW w:type="auto" w:w="0"/>
        <w:tblLook w:firstColumn="1" w:firstRow="1" w:lastColumn="0" w:lastRow="0" w:noHBand="0" w:noVBand="1" w:val="04A0"/>
      </w:tblPr>
      <w:tblGrid>
        <w:gridCol w:w="4968"/>
        <w:gridCol w:w="4968"/>
      </w:tblGrid>
      <w:tr>
        <w:tc>
          <w:tcPr>
            <w:tcW w:type="dxa" w:w="7200"/>
            <w:shd w:fill="0D6E6E" w:val="clear"/>
          </w:tcPr>
          <w:p>
            <w:r/>
            <w:r>
              <w:rPr>
                <w:rFonts w:ascii="Calibri" w:hAnsi="Calibri" w:eastAsia="Calibri"/>
                <w:b/>
                <w:color w:val="FFFFFF"/>
                <w:sz w:val="20"/>
              </w:rPr>
              <w:t>Line</w:t>
            </w:r>
          </w:p>
        </w:tc>
        <w:tc>
          <w:tcPr>
            <w:tcW w:type="dxa" w:w="2304"/>
            <w:shd w:fill="0D6E6E" w:val="clear"/>
          </w:tcPr>
          <w:p>
            <w:r/>
            <w:r>
              <w:rPr>
                <w:rFonts w:ascii="Calibri" w:hAnsi="Calibri" w:eastAsia="Calibri"/>
                <w:b/>
                <w:color w:val="FFFFFF"/>
                <w:sz w:val="20"/>
              </w:rPr>
              <w:t>USD</w:t>
            </w:r>
          </w:p>
        </w:tc>
      </w:tr>
      <w:tr>
        <w:tc>
          <w:tcPr>
            <w:tcW w:type="dxa" w:w="4968"/>
          </w:tcPr>
          <w:p>
            <w:r/>
            <w:r>
              <w:rPr>
                <w:rFonts w:ascii="Calibri" w:hAnsi="Calibri" w:eastAsia="Calibri"/>
                <w:b w:val="0"/>
                <w:color w:val="1E2F38"/>
                <w:sz w:val="20"/>
              </w:rPr>
              <w:t>Safeguards lead, clinical/data-protection time, VHT/CHW stipends</w:t>
            </w:r>
          </w:p>
        </w:tc>
        <w:tc>
          <w:tcPr>
            <w:tcW w:type="dxa" w:w="4968"/>
          </w:tcPr>
          <w:p>
            <w:r/>
            <w:r>
              <w:rPr>
                <w:rFonts w:ascii="Calibri" w:hAnsi="Calibri" w:eastAsia="Calibri"/>
                <w:b w:val="0"/>
                <w:color w:val="1E2F38"/>
                <w:sz w:val="20"/>
              </w:rPr>
              <w:t>28,000</w:t>
            </w:r>
          </w:p>
        </w:tc>
      </w:tr>
      <w:tr>
        <w:tc>
          <w:tcPr>
            <w:tcW w:type="dxa" w:w="4968"/>
            <w:shd w:fill="E8F3F2" w:val="clear"/>
          </w:tcPr>
          <w:p>
            <w:r/>
            <w:r>
              <w:rPr>
                <w:rFonts w:ascii="Calibri" w:hAnsi="Calibri" w:eastAsia="Calibri"/>
                <w:b w:val="0"/>
                <w:color w:val="1E2F38"/>
                <w:sz w:val="20"/>
              </w:rPr>
              <w:t>Technical implementation (consent flows, API scopes, offline UX, grievance tooling)</w:t>
            </w:r>
          </w:p>
        </w:tc>
        <w:tc>
          <w:tcPr>
            <w:tcW w:type="dxa" w:w="4968"/>
            <w:shd w:fill="E8F3F2" w:val="clear"/>
          </w:tcPr>
          <w:p>
            <w:r/>
            <w:r>
              <w:rPr>
                <w:rFonts w:ascii="Calibri" w:hAnsi="Calibri" w:eastAsia="Calibri"/>
                <w:b w:val="0"/>
                <w:color w:val="1E2F38"/>
                <w:sz w:val="20"/>
              </w:rPr>
              <w:t>21,000</w:t>
            </w:r>
          </w:p>
        </w:tc>
      </w:tr>
      <w:tr>
        <w:tc>
          <w:tcPr>
            <w:tcW w:type="dxa" w:w="4968"/>
          </w:tcPr>
          <w:p>
            <w:r/>
            <w:r>
              <w:rPr>
                <w:rFonts w:ascii="Calibri" w:hAnsi="Calibri" w:eastAsia="Calibri"/>
                <w:b w:val="0"/>
                <w:color w:val="1E2F38"/>
                <w:sz w:val="20"/>
              </w:rPr>
              <w:t>Workshops, community sessions, local travel, translation, materials</w:t>
            </w:r>
          </w:p>
        </w:tc>
        <w:tc>
          <w:tcPr>
            <w:tcW w:type="dxa" w:w="4968"/>
          </w:tcPr>
          <w:p>
            <w:r/>
            <w:r>
              <w:rPr>
                <w:rFonts w:ascii="Calibri" w:hAnsi="Calibri" w:eastAsia="Calibri"/>
                <w:b w:val="0"/>
                <w:color w:val="1E2F38"/>
                <w:sz w:val="20"/>
              </w:rPr>
              <w:t>10,500</w:t>
            </w:r>
          </w:p>
        </w:tc>
      </w:tr>
      <w:tr>
        <w:tc>
          <w:tcPr>
            <w:tcW w:type="dxa" w:w="4968"/>
            <w:shd w:fill="E8F3F2" w:val="clear"/>
          </w:tcPr>
          <w:p>
            <w:r/>
            <w:r>
              <w:rPr>
                <w:rFonts w:ascii="Calibri" w:hAnsi="Calibri" w:eastAsia="Calibri"/>
                <w:b w:val="0"/>
                <w:color w:val="1E2F38"/>
                <w:sz w:val="20"/>
              </w:rPr>
              <w:t>MEL, documentation, Resource Hub learning note, cohort participation costs</w:t>
            </w:r>
          </w:p>
        </w:tc>
        <w:tc>
          <w:tcPr>
            <w:tcW w:type="dxa" w:w="4968"/>
            <w:shd w:fill="E8F3F2" w:val="clear"/>
          </w:tcPr>
          <w:p>
            <w:r/>
            <w:r>
              <w:rPr>
                <w:rFonts w:ascii="Calibri" w:hAnsi="Calibri" w:eastAsia="Calibri"/>
                <w:b w:val="0"/>
                <w:color w:val="1E2F38"/>
                <w:sz w:val="20"/>
              </w:rPr>
              <w:t>10,500</w:t>
            </w:r>
          </w:p>
        </w:tc>
      </w:tr>
      <w:tr>
        <w:tc>
          <w:tcPr>
            <w:tcW w:type="dxa" w:w="4968"/>
          </w:tcPr>
          <w:p>
            <w:r/>
            <w:r>
              <w:rPr>
                <w:rFonts w:ascii="Calibri" w:hAnsi="Calibri" w:eastAsia="Calibri"/>
                <w:b w:val="0"/>
                <w:color w:val="1E2F38"/>
                <w:sz w:val="20"/>
              </w:rPr>
              <w:t>Total catalytic ask</w:t>
            </w:r>
          </w:p>
        </w:tc>
        <w:tc>
          <w:tcPr>
            <w:tcW w:type="dxa" w:w="4968"/>
          </w:tcPr>
          <w:p>
            <w:r/>
            <w:r>
              <w:rPr>
                <w:rFonts w:ascii="Calibri" w:hAnsi="Calibri" w:eastAsia="Calibri"/>
                <w:b w:val="0"/>
                <w:color w:val="1E2F38"/>
                <w:sz w:val="20"/>
              </w:rPr>
              <w:t>70,000</w:t>
            </w:r>
          </w:p>
        </w:tc>
      </w:tr>
    </w:tbl>
    <w:p>
      <w:pPr>
        <w:spacing w:after="160" w:before="0" w:line="276" w:lineRule="auto"/>
      </w:pPr>
      <w:r>
        <w:rPr>
          <w:rFonts w:ascii="Calibri" w:hAnsi="Calibri" w:eastAsia="Calibri"/>
          <w:b w:val="0"/>
          <w:i/>
          <w:color w:val="52636C"/>
          <w:sz w:val="18"/>
        </w:rPr>
        <w:t>Refine line items, quotations, and any co-funding before Stage 2. Catalytic funds accelerate safeguards inside an active deployment.</w:t>
      </w:r>
    </w:p>
    <w:p>
      <w:pPr>
        <w:spacing w:before="280" w:after="120"/>
      </w:pPr>
      <w:r>
        <w:rPr>
          <w:rFonts w:ascii="Calibri" w:hAnsi="Calibri" w:eastAsia="Calibri"/>
          <w:b/>
          <w:color w:val="0A1F2E"/>
          <w:sz w:val="32"/>
        </w:rPr>
        <w:t>6. How this maps to Universal DPI Safeguards themes</w:t>
      </w:r>
    </w:p>
    <w:tbl>
      <w:tblPr>
        <w:tblStyle w:val="TableGrid"/>
        <w:tblW w:type="auto" w:w="0"/>
        <w:tblLook w:firstColumn="1" w:firstRow="1" w:lastColumn="0" w:lastRow="0" w:noHBand="0" w:noVBand="1" w:val="04A0"/>
      </w:tblPr>
      <w:tblGrid>
        <w:gridCol w:w="4968"/>
        <w:gridCol w:w="4968"/>
      </w:tblGrid>
      <w:tr>
        <w:tc>
          <w:tcPr>
            <w:tcW w:type="dxa" w:w="3744"/>
            <w:shd w:fill="0D6E6E" w:val="clear"/>
          </w:tcPr>
          <w:p>
            <w:r/>
            <w:r>
              <w:rPr>
                <w:rFonts w:ascii="Calibri" w:hAnsi="Calibri" w:eastAsia="Calibri"/>
                <w:b/>
                <w:color w:val="FFFFFF"/>
                <w:sz w:val="20"/>
              </w:rPr>
              <w:t>Accelerator theme</w:t>
            </w:r>
          </w:p>
        </w:tc>
        <w:tc>
          <w:tcPr>
            <w:tcW w:type="dxa" w:w="5760"/>
            <w:shd w:fill="0D6E6E" w:val="clear"/>
          </w:tcPr>
          <w:p>
            <w:r/>
            <w:r>
              <w:rPr>
                <w:rFonts w:ascii="Calibri" w:hAnsi="Calibri" w:eastAsia="Calibri"/>
                <w:b/>
                <w:color w:val="FFFFFF"/>
                <w:sz w:val="20"/>
              </w:rPr>
              <w:t>FairBanks / FCHIP response</w:t>
            </w:r>
          </w:p>
        </w:tc>
      </w:tr>
      <w:tr>
        <w:tc>
          <w:tcPr>
            <w:tcW w:type="dxa" w:w="4968"/>
          </w:tcPr>
          <w:p>
            <w:r/>
            <w:r>
              <w:rPr>
                <w:rFonts w:ascii="Calibri" w:hAnsi="Calibri" w:eastAsia="Calibri"/>
                <w:b w:val="0"/>
                <w:color w:val="1E2F38"/>
                <w:sz w:val="20"/>
              </w:rPr>
              <w:t>Responsible data use / consent / sharing</w:t>
            </w:r>
          </w:p>
        </w:tc>
        <w:tc>
          <w:tcPr>
            <w:tcW w:type="dxa" w:w="4968"/>
          </w:tcPr>
          <w:p>
            <w:r/>
            <w:r>
              <w:rPr>
                <w:rFonts w:ascii="Calibri" w:hAnsi="Calibri" w:eastAsia="Calibri"/>
                <w:b w:val="0"/>
                <w:color w:val="1E2F38"/>
                <w:sz w:val="20"/>
              </w:rPr>
              <w:t>Consent protocol + least-privilege EMR/HMS APIs + audit trail</w:t>
            </w:r>
          </w:p>
        </w:tc>
      </w:tr>
      <w:tr>
        <w:tc>
          <w:tcPr>
            <w:tcW w:type="dxa" w:w="4968"/>
            <w:shd w:fill="E8F3F2" w:val="clear"/>
          </w:tcPr>
          <w:p>
            <w:r/>
            <w:r>
              <w:rPr>
                <w:rFonts w:ascii="Calibri" w:hAnsi="Calibri" w:eastAsia="Calibri"/>
                <w:b w:val="0"/>
                <w:color w:val="1E2F38"/>
                <w:sz w:val="20"/>
              </w:rPr>
              <w:t>Inclusion / offline access</w:t>
            </w:r>
          </w:p>
        </w:tc>
        <w:tc>
          <w:tcPr>
            <w:tcW w:type="dxa" w:w="4968"/>
            <w:shd w:fill="E8F3F2" w:val="clear"/>
          </w:tcPr>
          <w:p>
            <w:r/>
            <w:r>
              <w:rPr>
                <w:rFonts w:ascii="Calibri" w:hAnsi="Calibri" w:eastAsia="Calibri"/>
                <w:b w:val="0"/>
                <w:color w:val="1E2F38"/>
                <w:sz w:val="20"/>
              </w:rPr>
              <w:t>Offline CHW tools; low-literacy UX; reach to vulnerable groups</w:t>
            </w:r>
          </w:p>
        </w:tc>
      </w:tr>
      <w:tr>
        <w:tc>
          <w:tcPr>
            <w:tcW w:type="dxa" w:w="4968"/>
          </w:tcPr>
          <w:p>
            <w:r/>
            <w:r>
              <w:rPr>
                <w:rFonts w:ascii="Calibri" w:hAnsi="Calibri" w:eastAsia="Calibri"/>
                <w:b w:val="0"/>
                <w:color w:val="1E2F38"/>
                <w:sz w:val="20"/>
              </w:rPr>
              <w:t>Grievance / recourse</w:t>
            </w:r>
          </w:p>
        </w:tc>
        <w:tc>
          <w:tcPr>
            <w:tcW w:type="dxa" w:w="4968"/>
          </w:tcPr>
          <w:p>
            <w:r/>
            <w:r>
              <w:rPr>
                <w:rFonts w:ascii="Calibri" w:hAnsi="Calibri" w:eastAsia="Calibri"/>
                <w:b w:val="0"/>
                <w:color w:val="1E2F38"/>
                <w:sz w:val="20"/>
              </w:rPr>
              <w:t>Named pathway for data and alert-related concerns</w:t>
            </w:r>
          </w:p>
        </w:tc>
      </w:tr>
      <w:tr>
        <w:tc>
          <w:tcPr>
            <w:tcW w:type="dxa" w:w="4968"/>
            <w:shd w:fill="E8F3F2" w:val="clear"/>
          </w:tcPr>
          <w:p>
            <w:r/>
            <w:r>
              <w:rPr>
                <w:rFonts w:ascii="Calibri" w:hAnsi="Calibri" w:eastAsia="Calibri"/>
                <w:b w:val="0"/>
                <w:color w:val="1E2F38"/>
                <w:sz w:val="20"/>
              </w:rPr>
              <w:t>Multistakeholder governance</w:t>
            </w:r>
          </w:p>
        </w:tc>
        <w:tc>
          <w:tcPr>
            <w:tcW w:type="dxa" w:w="4968"/>
            <w:shd w:fill="E8F3F2" w:val="clear"/>
          </w:tcPr>
          <w:p>
            <w:r/>
            <w:r>
              <w:rPr>
                <w:rFonts w:ascii="Calibri" w:hAnsi="Calibri" w:eastAsia="Calibri"/>
                <w:b w:val="0"/>
                <w:color w:val="1E2F38"/>
                <w:sz w:val="20"/>
              </w:rPr>
              <w:t>Working group: government liaison, VHTs, community, facility</w:t>
            </w:r>
          </w:p>
        </w:tc>
      </w:tr>
      <w:tr>
        <w:tc>
          <w:tcPr>
            <w:tcW w:type="dxa" w:w="4968"/>
          </w:tcPr>
          <w:p>
            <w:r/>
            <w:r>
              <w:rPr>
                <w:rFonts w:ascii="Calibri" w:hAnsi="Calibri" w:eastAsia="Calibri"/>
                <w:b w:val="0"/>
                <w:color w:val="1E2F38"/>
                <w:sz w:val="20"/>
              </w:rPr>
              <w:t>Sectoral DPI (digital health)</w:t>
            </w:r>
          </w:p>
        </w:tc>
        <w:tc>
          <w:tcPr>
            <w:tcW w:type="dxa" w:w="4968"/>
          </w:tcPr>
          <w:p>
            <w:r/>
            <w:r>
              <w:rPr>
                <w:rFonts w:ascii="Calibri" w:hAnsi="Calibri" w:eastAsia="Calibri"/>
                <w:b w:val="0"/>
                <w:color w:val="1E2F38"/>
                <w:sz w:val="20"/>
              </w:rPr>
              <w:t>Community health data exchange as public-interest infrastructure</w:t>
            </w:r>
          </w:p>
        </w:tc>
      </w:tr>
    </w:tbl>
    <w:p>
      <w:pPr>
        <w:spacing w:before="280" w:after="120"/>
      </w:pPr>
      <w:r>
        <w:rPr>
          <w:rFonts w:ascii="Calibri" w:hAnsi="Calibri" w:eastAsia="Calibri"/>
          <w:b/>
          <w:color w:val="0A1F2E"/>
          <w:sz w:val="32"/>
        </w:rPr>
        <w:t>7. Stage 2 preparation (if longlisted)</w:t>
      </w:r>
    </w:p>
    <w:p>
      <w:pPr>
        <w:pStyle w:val="ListBullet"/>
        <w:spacing w:after="80"/>
      </w:pPr>
      <w:r>
        <w:rPr>
          <w:rFonts w:ascii="Calibri" w:hAnsi="Calibri" w:eastAsia="Calibri"/>
          <w:b w:val="0"/>
          <w:color w:val="1E2F38"/>
          <w:sz w:val="22"/>
        </w:rPr>
        <w:t>Granular activity plan by month with owners and milestones</w:t>
      </w:r>
    </w:p>
    <w:p>
      <w:pPr>
        <w:pStyle w:val="ListBullet"/>
        <w:spacing w:after="80"/>
      </w:pPr>
      <w:r>
        <w:rPr>
          <w:rFonts w:ascii="Calibri" w:hAnsi="Calibri" w:eastAsia="Calibri"/>
          <w:b w:val="0"/>
          <w:color w:val="1E2F38"/>
          <w:sz w:val="22"/>
        </w:rPr>
        <w:t>Finalised budget with quotations and salary scales</w:t>
      </w:r>
    </w:p>
    <w:p>
      <w:pPr>
        <w:pStyle w:val="ListBullet"/>
        <w:spacing w:after="80"/>
      </w:pPr>
      <w:r>
        <w:rPr>
          <w:rFonts w:ascii="Calibri" w:hAnsi="Calibri" w:eastAsia="Calibri"/>
          <w:b w:val="0"/>
          <w:color w:val="1E2F38"/>
          <w:sz w:val="22"/>
        </w:rPr>
        <w:t>Organisational profile + verified proof of legal status (NGO pathway)</w:t>
      </w:r>
    </w:p>
    <w:p>
      <w:pPr>
        <w:pStyle w:val="ListBullet"/>
        <w:spacing w:after="80"/>
      </w:pPr>
      <w:r>
        <w:rPr>
          <w:rFonts w:ascii="Calibri" w:hAnsi="Calibri" w:eastAsia="Calibri"/>
          <w:b w:val="0"/>
          <w:color w:val="1E2F38"/>
          <w:sz w:val="22"/>
        </w:rPr>
        <w:t>Written government support / commitment letter from collaborating authority</w:t>
      </w:r>
    </w:p>
    <w:p>
      <w:pPr>
        <w:pStyle w:val="ListBullet"/>
        <w:spacing w:after="80"/>
      </w:pPr>
      <w:r>
        <w:rPr>
          <w:rFonts w:ascii="Calibri" w:hAnsi="Calibri" w:eastAsia="Calibri"/>
          <w:b w:val="0"/>
          <w:color w:val="1E2F38"/>
          <w:sz w:val="22"/>
        </w:rPr>
        <w:t>Named civil society / affected-user roles and meeting cadence</w:t>
      </w:r>
    </w:p>
    <w:p>
      <w:pPr>
        <w:pStyle w:val="ListBullet"/>
        <w:spacing w:after="80"/>
      </w:pPr>
      <w:r>
        <w:rPr>
          <w:rFonts w:ascii="Calibri" w:hAnsi="Calibri" w:eastAsia="Calibri"/>
          <w:b w:val="0"/>
          <w:color w:val="1E2F38"/>
          <w:sz w:val="22"/>
        </w:rPr>
        <w:t>Data protection, safeguarding, and ethics approach for health data</w:t>
      </w:r>
    </w:p>
    <w:p>
      <w:pPr>
        <w:pStyle w:val="ListBullet"/>
        <w:spacing w:after="80"/>
      </w:pPr>
      <w:r>
        <w:rPr>
          <w:rFonts w:ascii="Calibri" w:hAnsi="Calibri" w:eastAsia="Calibri"/>
          <w:b w:val="0"/>
          <w:color w:val="1E2F38"/>
          <w:sz w:val="22"/>
        </w:rPr>
        <w:t>Risk register and mitigation (privacy, exclusion, alert harm, adoption)</w:t>
      </w:r>
    </w:p>
    <w:p>
      <w:pPr>
        <w:pStyle w:val="ListBullet"/>
        <w:spacing w:after="80"/>
      </w:pPr>
      <w:r>
        <w:rPr>
          <w:rFonts w:ascii="Calibri" w:hAnsi="Calibri" w:eastAsia="Calibri"/>
          <w:b w:val="0"/>
          <w:color w:val="1E2F38"/>
          <w:sz w:val="22"/>
        </w:rPr>
        <w:t>Learning and contribution plan for the DPI Safeguards Resource Hub</w:t>
      </w:r>
    </w:p>
    <w:p>
      <w:pPr>
        <w:spacing w:after="160" w:before="0" w:line="276" w:lineRule="auto"/>
      </w:pPr>
      <w:r>
        <w:rPr>
          <w:rFonts w:ascii="Calibri" w:hAnsi="Calibri" w:eastAsia="Calibri"/>
          <w:b w:val="0"/>
          <w:i/>
          <w:color w:val="52636C"/>
          <w:sz w:val="18"/>
        </w:rPr>
        <w:t>Advancement to Stage 2 does not guarantee funding. Final awards follow fiduciary and programmatic clearance.</w:t>
      </w:r>
    </w:p>
    <w:p>
      <w:pPr>
        <w:spacing w:before="280" w:after="120"/>
      </w:pPr>
      <w:r>
        <w:rPr>
          <w:rFonts w:ascii="Calibri" w:hAnsi="Calibri" w:eastAsia="Calibri"/>
          <w:b/>
          <w:color w:val="0A1F2E"/>
          <w:sz w:val="32"/>
        </w:rPr>
        <w:t>8. Submit checklist (before 30 July)</w:t>
      </w:r>
    </w:p>
    <w:p>
      <w:pPr>
        <w:pStyle w:val="ListBullet"/>
        <w:spacing w:after="80"/>
      </w:pPr>
      <w:r>
        <w:rPr>
          <w:rFonts w:ascii="Calibri" w:hAnsi="Calibri" w:eastAsia="Calibri"/>
          <w:b w:val="0"/>
          <w:color w:val="1E2F38"/>
          <w:sz w:val="22"/>
        </w:rPr>
        <w:t>Confirm NGO-pathway legal eligibility (or eligible lead partner).</w:t>
      </w:r>
    </w:p>
    <w:p>
      <w:pPr>
        <w:pStyle w:val="ListBullet"/>
        <w:spacing w:after="80"/>
      </w:pPr>
      <w:r>
        <w:rPr>
          <w:rFonts w:ascii="Calibri" w:hAnsi="Calibri" w:eastAsia="Calibri"/>
          <w:b w:val="0"/>
          <w:color w:val="1E2F38"/>
          <w:sz w:val="22"/>
        </w:rPr>
        <w:t>Replace every CONFIRM BEFORE SUBMISSION marker with verified facts.</w:t>
      </w:r>
    </w:p>
    <w:p>
      <w:pPr>
        <w:pStyle w:val="ListBullet"/>
        <w:spacing w:after="80"/>
      </w:pPr>
      <w:r>
        <w:rPr>
          <w:rFonts w:ascii="Calibri" w:hAnsi="Calibri" w:eastAsia="Calibri"/>
          <w:b w:val="0"/>
          <w:color w:val="1E2F38"/>
          <w:sz w:val="22"/>
        </w:rPr>
        <w:t>Name the government counterpart you can truthfully claim today.</w:t>
      </w:r>
    </w:p>
    <w:p>
      <w:pPr>
        <w:pStyle w:val="ListBullet"/>
        <w:spacing w:after="80"/>
      </w:pPr>
      <w:r>
        <w:rPr>
          <w:rFonts w:ascii="Calibri" w:hAnsi="Calibri" w:eastAsia="Calibri"/>
          <w:b w:val="0"/>
          <w:color w:val="1E2F38"/>
          <w:sz w:val="22"/>
        </w:rPr>
        <w:t>Open the NGO Airtable form (use permitted network/VPN if region-blocked).</w:t>
      </w:r>
    </w:p>
    <w:p>
      <w:pPr>
        <w:pStyle w:val="ListBullet"/>
        <w:spacing w:after="80"/>
      </w:pPr>
      <w:r>
        <w:rPr>
          <w:rFonts w:ascii="Calibri" w:hAnsi="Calibri" w:eastAsia="Calibri"/>
          <w:b w:val="0"/>
          <w:color w:val="1E2F38"/>
          <w:sz w:val="22"/>
        </w:rPr>
        <w:t>Paste Stage 1 answers; keep tone practical and community-rooted.</w:t>
      </w:r>
    </w:p>
    <w:p>
      <w:pPr>
        <w:pStyle w:val="ListBullet"/>
        <w:spacing w:after="80"/>
      </w:pPr>
      <w:r>
        <w:rPr>
          <w:rFonts w:ascii="Calibri" w:hAnsi="Calibri" w:eastAsia="Calibri"/>
          <w:b w:val="0"/>
          <w:color w:val="1E2F38"/>
          <w:sz w:val="22"/>
        </w:rPr>
        <w:t>Save confirmation / screenshot of submission.</w:t>
      </w:r>
    </w:p>
    <w:p>
      <w:pPr>
        <w:pStyle w:val="ListBullet"/>
        <w:spacing w:after="80"/>
      </w:pPr>
      <w:r>
        <w:rPr>
          <w:rFonts w:ascii="Calibri" w:hAnsi="Calibri" w:eastAsia="Calibri"/>
          <w:b w:val="0"/>
          <w:color w:val="1E2F38"/>
          <w:sz w:val="22"/>
        </w:rPr>
        <w:t>Start drafting the government commitment letter request the same day.</w:t>
      </w:r>
    </w:p>
    <w:p>
      <w:pPr>
        <w:spacing w:before="280" w:after="120"/>
      </w:pPr>
      <w:r>
        <w:rPr>
          <w:rFonts w:ascii="Calibri" w:hAnsi="Calibri" w:eastAsia="Calibri"/>
          <w:b/>
          <w:color w:val="0A1F2E"/>
          <w:sz w:val="32"/>
        </w:rPr>
        <w:t>9. Official sources</w:t>
      </w:r>
    </w:p>
    <w:tbl>
      <w:tblPr>
        <w:tblStyle w:val="TableGrid"/>
        <w:tblW w:type="auto" w:w="0"/>
        <w:tblLook w:firstColumn="1" w:firstRow="1" w:lastColumn="0" w:lastRow="0" w:noHBand="0" w:noVBand="1" w:val="04A0"/>
      </w:tblPr>
      <w:tblGrid>
        <w:gridCol w:w="4968"/>
        <w:gridCol w:w="4968"/>
      </w:tblGrid>
      <w:tr>
        <w:tc>
          <w:tcPr>
            <w:tcW w:type="dxa" w:w="3456"/>
            <w:shd w:fill="0D6E6E" w:val="clear"/>
          </w:tcPr>
          <w:p>
            <w:r/>
            <w:r>
              <w:rPr>
                <w:rFonts w:ascii="Calibri" w:hAnsi="Calibri" w:eastAsia="Calibri"/>
                <w:b/>
                <w:color w:val="FFFFFF"/>
                <w:sz w:val="20"/>
              </w:rPr>
              <w:t>Source</w:t>
            </w:r>
          </w:p>
        </w:tc>
        <w:tc>
          <w:tcPr>
            <w:tcW w:type="dxa" w:w="6048"/>
            <w:shd w:fill="0D6E6E" w:val="clear"/>
          </w:tcPr>
          <w:p>
            <w:r/>
            <w:r>
              <w:rPr>
                <w:rFonts w:ascii="Calibri" w:hAnsi="Calibri" w:eastAsia="Calibri"/>
                <w:b/>
                <w:color w:val="FFFFFF"/>
                <w:sz w:val="20"/>
              </w:rPr>
              <w:t>URL</w:t>
            </w:r>
          </w:p>
        </w:tc>
      </w:tr>
      <w:tr>
        <w:tc>
          <w:tcPr>
            <w:tcW w:type="dxa" w:w="4968"/>
          </w:tcPr>
          <w:p>
            <w:r/>
            <w:r>
              <w:rPr>
                <w:rFonts w:ascii="Calibri" w:hAnsi="Calibri" w:eastAsia="Calibri"/>
                <w:b w:val="0"/>
                <w:color w:val="1E2F38"/>
                <w:sz w:val="20"/>
              </w:rPr>
              <w:t>Accelerator page</w:t>
            </w:r>
          </w:p>
        </w:tc>
        <w:tc>
          <w:tcPr>
            <w:tcW w:type="dxa" w:w="4968"/>
          </w:tcPr>
          <w:p>
            <w:r/>
            <w:r>
              <w:rPr>
                <w:rFonts w:ascii="Calibri" w:hAnsi="Calibri" w:eastAsia="Calibri"/>
                <w:b w:val="0"/>
                <w:color w:val="1E2F38"/>
                <w:sz w:val="20"/>
              </w:rPr>
              <w:t>https://www.dpi-safeguards.org/accelerator</w:t>
            </w:r>
          </w:p>
        </w:tc>
      </w:tr>
      <w:tr>
        <w:tc>
          <w:tcPr>
            <w:tcW w:type="dxa" w:w="4968"/>
            <w:shd w:fill="E8F3F2" w:val="clear"/>
          </w:tcPr>
          <w:p>
            <w:r/>
            <w:r>
              <w:rPr>
                <w:rFonts w:ascii="Calibri" w:hAnsi="Calibri" w:eastAsia="Calibri"/>
                <w:b w:val="0"/>
                <w:color w:val="1E2F38"/>
                <w:sz w:val="20"/>
              </w:rPr>
              <w:t>DPI Safeguards home</w:t>
            </w:r>
          </w:p>
        </w:tc>
        <w:tc>
          <w:tcPr>
            <w:tcW w:type="dxa" w:w="4968"/>
            <w:shd w:fill="E8F3F2" w:val="clear"/>
          </w:tcPr>
          <w:p>
            <w:r/>
            <w:r>
              <w:rPr>
                <w:rFonts w:ascii="Calibri" w:hAnsi="Calibri" w:eastAsia="Calibri"/>
                <w:b w:val="0"/>
                <w:color w:val="1E2F38"/>
                <w:sz w:val="20"/>
              </w:rPr>
              <w:t>https://www.dpi-safeguards.org/</w:t>
            </w:r>
          </w:p>
        </w:tc>
      </w:tr>
      <w:tr>
        <w:tc>
          <w:tcPr>
            <w:tcW w:type="dxa" w:w="4968"/>
          </w:tcPr>
          <w:p>
            <w:r/>
            <w:r>
              <w:rPr>
                <w:rFonts w:ascii="Calibri" w:hAnsi="Calibri" w:eastAsia="Calibri"/>
                <w:b w:val="0"/>
                <w:color w:val="1E2F38"/>
                <w:sz w:val="20"/>
              </w:rPr>
              <w:t>NGO Stage 1 Airtable form</w:t>
            </w:r>
          </w:p>
        </w:tc>
        <w:tc>
          <w:tcPr>
            <w:tcW w:type="dxa" w:w="4968"/>
          </w:tcPr>
          <w:p>
            <w:r/>
            <w:r>
              <w:rPr>
                <w:rFonts w:ascii="Calibri" w:hAnsi="Calibri" w:eastAsia="Calibri"/>
                <w:b w:val="0"/>
                <w:color w:val="1E2F38"/>
                <w:sz w:val="20"/>
              </w:rPr>
              <w:t>https://airtable.com/appcltTa6tzGwskOA/pagJNFsEqox4M5WAU/form</w:t>
            </w:r>
          </w:p>
        </w:tc>
      </w:tr>
      <w:tr>
        <w:tc>
          <w:tcPr>
            <w:tcW w:type="dxa" w:w="4968"/>
            <w:shd w:fill="E8F3F2" w:val="clear"/>
          </w:tcPr>
          <w:p>
            <w:r/>
            <w:r>
              <w:rPr>
                <w:rFonts w:ascii="Calibri" w:hAnsi="Calibri" w:eastAsia="Calibri"/>
                <w:b w:val="0"/>
                <w:color w:val="1E2F38"/>
                <w:sz w:val="20"/>
              </w:rPr>
              <w:t>fundsforNGOs programme summary</w:t>
            </w:r>
          </w:p>
        </w:tc>
        <w:tc>
          <w:tcPr>
            <w:tcW w:type="dxa" w:w="4968"/>
            <w:shd w:fill="E8F3F2" w:val="clear"/>
          </w:tcPr>
          <w:p>
            <w:r/>
            <w:r>
              <w:rPr>
                <w:rFonts w:ascii="Calibri" w:hAnsi="Calibri" w:eastAsia="Calibri"/>
                <w:b w:val="0"/>
                <w:color w:val="1E2F38"/>
                <w:sz w:val="20"/>
              </w:rPr>
              <w:t>https://www2.fundsforngos.org/construction/safeguards-accelerator-supporting-safe-and-inclusive-digital-public-infrastructure/</w:t>
            </w:r>
          </w:p>
        </w:tc>
      </w:tr>
    </w:tbl>
    <w:p>
      <w:pPr>
        <w:spacing w:after="160" w:before="0" w:line="276" w:lineRule="auto"/>
      </w:pPr>
      <w:r>
        <w:rPr>
          <w:rFonts w:ascii="Calibri" w:hAnsi="Calibri" w:eastAsia="Calibri"/>
          <w:b w:val="0"/>
          <w:i/>
          <w:color w:val="52636C"/>
          <w:sz w:val="16"/>
        </w:rPr>
        <w:t>Generated 2026-07-29. Follow https://www.dpi-safeguards.org/accelerator if anything conflicts.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