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68665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11"/>
                    <a:stretch>
                      <a:fillRect/>
                    </a:stretch>
                  </pic:blipFill>
                  <pic:spPr>
                    <a:xfrm>
                      <a:off x="0" y="0"/>
                      <a:ext cx="1828800" cy="686650"/>
                    </a:xfrm>
                    <a:prstGeom prst="rect"/>
                  </pic:spPr>
                </pic:pic>
              </a:graphicData>
            </a:graphic>
          </wp:inline>
        </w:drawing>
      </w:r>
    </w:p>
    <w:p>
      <w:pPr>
        <w:spacing w:after="160"/>
        <w:jc w:val="center"/>
      </w:pPr>
      <w:r>
        <w:rPr>
          <w:rFonts w:ascii="Aptos" w:hAnsi="Aptos"/>
          <w:b/>
          <w:i w:val="0"/>
          <w:color w:val="0D6E6E"/>
          <w:sz w:val="26"/>
        </w:rPr>
        <w:t>Africa Health-Tech Accelerator 2026</w:t>
      </w:r>
    </w:p>
    <w:p>
      <w:pPr>
        <w:pStyle w:val="Title"/>
        <w:jc w:val="center"/>
      </w:pPr>
      <w:r>
        <w:t>FairBanks Community Health Intelligence Platform (FCHIP)</w:t>
      </w:r>
    </w:p>
    <w:p>
      <w:pPr>
        <w:spacing w:after="200"/>
        <w:jc w:val="center"/>
      </w:pPr>
      <w:r>
        <w:rPr>
          <w:rFonts w:ascii="Aptos" w:hAnsi="Aptos"/>
          <w:b/>
          <w:i w:val="0"/>
          <w:color w:val="C45C26"/>
          <w:sz w:val="30"/>
        </w:rPr>
        <w:t>From community health signals to timely action across Africa</w:t>
      </w:r>
    </w:p>
    <w:p>
      <w:pPr>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cover_hero_cinematic.jpg"/>
                    <pic:cNvPicPr/>
                  </pic:nvPicPr>
                  <pic:blipFill>
                    <a:blip r:embed="rId12"/>
                    <a:stretch>
                      <a:fillRect/>
                    </a:stretch>
                  </pic:blipFill>
                  <pic:spPr>
                    <a:xfrm>
                      <a:off x="0" y="0"/>
                      <a:ext cx="6217920" cy="3497580"/>
                    </a:xfrm>
                    <a:prstGeom prst="rect"/>
                  </pic:spPr>
                </pic:pic>
              </a:graphicData>
            </a:graphic>
          </wp:inline>
        </w:drawing>
      </w:r>
    </w:p>
    <w:p>
      <w:pPr>
        <w:spacing w:after="160"/>
        <w:jc w:val="center"/>
      </w:pPr>
      <w:r>
        <w:rPr>
          <w:rFonts w:ascii="Aptos" w:hAnsi="Aptos"/>
          <w:b/>
          <w:i w:val="0"/>
          <w:color w:val="0D6E6E"/>
          <w:sz w:val="24"/>
        </w:rPr>
        <w:t>Your health, our mission.</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Application detail</w:t>
            </w:r>
          </w:p>
        </w:tc>
        <w:tc>
          <w:tcPr>
            <w:tcW w:type="dxa" w:w="6912"/>
            <w:shd w:fill="0A1F2E"/>
            <w:tcMar>
              <w:top w:w="80" w:type="dxa"/>
              <w:start w:w="120" w:type="dxa"/>
              <w:bottom w:w="80" w:type="dxa"/>
              <w:end w:w="120" w:type="dxa"/>
            </w:tcMar>
            <w:vAlign w:val="center"/>
          </w:tcPr>
          <w:p>
            <w:r/>
            <w:r>
              <w:rPr>
                <w:rFonts w:ascii="Aptos" w:hAnsi="Aptos"/>
                <w:b/>
                <w:i w:val="0"/>
                <w:color w:val="FFFFFF"/>
                <w:sz w:val="18"/>
              </w:rPr>
              <w:t>Working position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Deadline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20 July 2026 (extended deadline - recheck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Headquarters</w:t>
            </w:r>
          </w:p>
        </w:tc>
        <w:tc>
          <w:tcPr>
            <w:tcW w:type="dxa" w:w="6912"/>
            <w:tcMar>
              <w:top w:w="70" w:type="dxa"/>
              <w:start w:w="120" w:type="dxa"/>
              <w:bottom w:w="70" w:type="dxa"/>
              <w:end w:w="120" w:type="dxa"/>
            </w:tcMar>
            <w:vAlign w:val="top"/>
          </w:tcPr>
          <w:p>
            <w:r/>
            <w:r>
              <w:rPr>
                <w:rFonts w:ascii="Aptos" w:hAnsi="Aptos"/>
                <w:b w:val="0"/>
                <w:i w:val="0"/>
                <w:color w:val="1E2F38"/>
                <w:sz w:val="17"/>
              </w:rPr>
              <w:t>Uganda</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Product stage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MVP (working product; validating in FairBanks Community Reach)</w:t>
            </w:r>
          </w:p>
        </w:tc>
      </w:tr>
      <w:tr>
        <w:tc>
          <w:tcPr>
            <w:tcW w:type="dxa" w:w="2592"/>
            <w:tcMar>
              <w:top w:w="70" w:type="dxa"/>
              <w:start w:w="120" w:type="dxa"/>
              <w:bottom w:w="70" w:type="dxa"/>
              <w:end w:w="120" w:type="dxa"/>
            </w:tcMar>
            <w:vAlign w:val="top"/>
          </w:tcPr>
          <w:p>
            <w:r/>
            <w:r>
              <w:rPr>
                <w:rFonts w:ascii="Aptos" w:hAnsi="Aptos"/>
                <w:b/>
                <w:i w:val="0"/>
                <w:color w:val="1E2F38"/>
                <w:sz w:val="17"/>
              </w:rPr>
              <w:t>Document status</w:t>
            </w:r>
          </w:p>
        </w:tc>
        <w:tc>
          <w:tcPr>
            <w:tcW w:type="dxa" w:w="6912"/>
            <w:tcMar>
              <w:top w:w="70" w:type="dxa"/>
              <w:start w:w="120" w:type="dxa"/>
              <w:bottom w:w="70" w:type="dxa"/>
              <w:end w:w="120" w:type="dxa"/>
            </w:tcMar>
            <w:vAlign w:val="top"/>
          </w:tcPr>
          <w:p>
            <w:r/>
            <w:r>
              <w:rPr>
                <w:rFonts w:ascii="Aptos" w:hAnsi="Aptos"/>
                <w:b w:val="0"/>
                <w:i w:val="0"/>
                <w:color w:val="1E2F38"/>
                <w:sz w:val="17"/>
              </w:rPr>
              <w:t>Application draft - FCHIP MVP confirmed; founder identity, commercial fields, and public Drive link still require confirmation</w:t>
            </w:r>
          </w:p>
        </w:tc>
      </w:tr>
    </w:tbl>
    <w:p>
      <w:pPr>
        <w:spacing w:after="20"/>
      </w:pPr>
    </w:p>
    <w:p>
      <w:pPr>
        <w:spacing w:after="100"/>
        <w:jc w:val="center"/>
      </w:pPr>
      <w:r>
        <w:rPr>
          <w:rFonts w:ascii="Aptos" w:hAnsi="Aptos"/>
          <w:b w:val="0"/>
          <w:i/>
          <w:color w:val="52636C"/>
          <w:sz w:val="16"/>
        </w:rPr>
        <w:t>Prepared from the live official programme site and all six sections of the application portal on 20 July 2026.</w:t>
      </w:r>
    </w:p>
    <w:p>
      <w:r>
        <w:br w:type="page"/>
      </w:r>
    </w:p>
    <w:p>
      <w:pPr>
        <w:pStyle w:val="Heading1"/>
        <w:spacing w:before="160" w:after="100"/>
      </w:pPr>
      <w:r>
        <w:t>Submission readiness gate</w:t>
      </w:r>
    </w:p>
    <w:p>
      <w:pPr>
        <w:spacing w:after="100"/>
      </w:pPr>
      <w:r>
        <w:rPr>
          <w:rFonts w:ascii="Aptos" w:hAnsi="Aptos"/>
          <w:b/>
          <w:i w:val="0"/>
          <w:color w:val="C45C26"/>
          <w:sz w:val="20"/>
        </w:rPr>
        <w:t>The portal requires at least two founders and a minimum viable product. FCHIP MVP status is confirmed. Do not invent paying FCHIP customers, AI performance scores, or unsigned partners. Complete founder and commercial CONFIRM fields before submission.</w:t>
      </w:r>
    </w:p>
    <w:p>
      <w:pPr>
        <w:pStyle w:val="ListBullet"/>
        <w:spacing w:after="40"/>
      </w:pPr>
      <w:r>
        <w:rPr>
          <w:rFonts w:ascii="Aptos" w:hAnsi="Aptos"/>
          <w:b w:val="0"/>
          <w:i w:val="0"/>
          <w:color w:val="1E2F38"/>
          <w:sz w:val="20"/>
        </w:rPr>
        <w:t>Confirm at least two founders and list every founder with a role.</w:t>
      </w:r>
    </w:p>
    <w:p>
      <w:pPr>
        <w:pStyle w:val="ListBullet"/>
        <w:spacing w:after="40"/>
      </w:pPr>
      <w:r>
        <w:rPr>
          <w:rFonts w:ascii="Aptos" w:hAnsi="Aptos"/>
          <w:b w:val="0"/>
          <w:i w:val="0"/>
          <w:color w:val="1E2F38"/>
          <w:sz w:val="20"/>
        </w:rPr>
        <w:t>FCHIP MVP is confirmed - keep a short demo or screenshots ready for screening calls.</w:t>
      </w:r>
    </w:p>
    <w:p>
      <w:pPr>
        <w:pStyle w:val="ListBullet"/>
        <w:spacing w:after="40"/>
      </w:pPr>
      <w:r>
        <w:rPr>
          <w:rFonts w:ascii="Aptos" w:hAnsi="Aptos"/>
          <w:b w:val="0"/>
          <w:i w:val="0"/>
          <w:color w:val="1E2F38"/>
          <w:sz w:val="20"/>
        </w:rPr>
        <w:t>Confirm the presenting founder can attend at least 80% of sessions.</w:t>
      </w:r>
    </w:p>
    <w:p>
      <w:pPr>
        <w:pStyle w:val="ListBullet"/>
        <w:spacing w:after="40"/>
      </w:pPr>
      <w:r>
        <w:rPr>
          <w:rFonts w:ascii="Aptos" w:hAnsi="Aptos"/>
          <w:b w:val="0"/>
          <w:i w:val="0"/>
          <w:color w:val="1E2F38"/>
          <w:sz w:val="20"/>
        </w:rPr>
        <w:t>Replace every CONFIRM BEFORE SUBMISSION field with verified information.</w:t>
      </w:r>
    </w:p>
    <w:p>
      <w:pPr>
        <w:pStyle w:val="ListBullet"/>
        <w:spacing w:after="40"/>
      </w:pPr>
      <w:r>
        <w:rPr>
          <w:rFonts w:ascii="Aptos" w:hAnsi="Aptos"/>
          <w:b w:val="0"/>
          <w:i w:val="0"/>
          <w:color w:val="1E2F38"/>
          <w:sz w:val="20"/>
        </w:rPr>
        <w:t>Upload the pitch deck (PPT + PDF) to Google Drive with public access; test the link while signed out.</w:t>
      </w:r>
    </w:p>
    <w:tbl>
      <w:tblPr>
        <w:tblW w:type="auto" w:w="0"/>
        <w:jc w:val="center"/>
        <w:tblLayout w:type="fixed"/>
        <w:tblLook w:firstColumn="1" w:firstRow="1" w:lastColumn="0" w:lastRow="0" w:noHBand="0" w:noVBand="1" w:val="04A0"/>
      </w:tblPr>
      <w:tblGrid>
        <w:gridCol w:w="4917"/>
        <w:gridCol w:w="4917"/>
      </w:tblGrid>
      <w:tr>
        <w:tc>
          <w:tcPr>
            <w:tcW w:type="dxa" w:w="3744"/>
            <w:shd w:fill="0A1F2E"/>
            <w:tcMar>
              <w:top w:w="80" w:type="dxa"/>
              <w:start w:w="120" w:type="dxa"/>
              <w:bottom w:w="80" w:type="dxa"/>
              <w:end w:w="120" w:type="dxa"/>
            </w:tcMar>
            <w:vAlign w:val="center"/>
          </w:tcPr>
          <w:p>
            <w:r/>
            <w:r>
              <w:rPr>
                <w:rFonts w:ascii="Aptos" w:hAnsi="Aptos"/>
                <w:b/>
                <w:i w:val="0"/>
                <w:color w:val="FFFFFF"/>
                <w:sz w:val="18"/>
              </w:rPr>
              <w:t>Critical field</w:t>
            </w:r>
          </w:p>
        </w:tc>
        <w:tc>
          <w:tcPr>
            <w:tcW w:type="dxa" w:w="5760"/>
            <w:shd w:fill="0A1F2E"/>
            <w:tcMar>
              <w:top w:w="80" w:type="dxa"/>
              <w:start w:w="120" w:type="dxa"/>
              <w:bottom w:w="80" w:type="dxa"/>
              <w:end w:w="120" w:type="dxa"/>
            </w:tcMar>
            <w:vAlign w:val="center"/>
          </w:tcPr>
          <w:p>
            <w:r/>
            <w:r>
              <w:rPr>
                <w:rFonts w:ascii="Aptos" w:hAnsi="Aptos"/>
                <w:b/>
                <w:i w:val="0"/>
                <w:color w:val="FFFFFF"/>
                <w:sz w:val="18"/>
              </w:rPr>
              <w:t>Current status</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Founder identity and contacts</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Co-founders and roles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Working FCHIP MVP</w:t>
            </w:r>
          </w:p>
        </w:tc>
        <w:tc>
          <w:tcPr>
            <w:tcW w:type="dxa" w:w="5760"/>
            <w:tcMar>
              <w:top w:w="100" w:type="dxa"/>
              <w:start w:w="120" w:type="dxa"/>
              <w:bottom w:w="100" w:type="dxa"/>
              <w:end w:w="120" w:type="dxa"/>
            </w:tcMar>
            <w:shd w:fill="E8F3F2"/>
            <w:vAlign w:val="top"/>
          </w:tcPr>
          <w:p>
            <w:r/>
            <w:r>
              <w:rPr>
                <w:rFonts w:ascii="Aptos" w:hAnsi="Aptos"/>
                <w:b w:val="0"/>
                <w:i w:val="0"/>
                <w:color w:val="1E2F38"/>
                <w:sz w:val="18"/>
              </w:rPr>
              <w:t>Confirmed - keep demo/screenshots ready</w:t>
            </w:r>
          </w:p>
        </w:tc>
      </w:tr>
      <w:tr>
        <w:tc>
          <w:tcPr>
            <w:tcW w:type="dxa" w:w="3744"/>
            <w:tcMar>
              <w:top w:w="100" w:type="dxa"/>
              <w:start w:w="120" w:type="dxa"/>
              <w:bottom w:w="100" w:type="dxa"/>
              <w:end w:w="120" w:type="dxa"/>
            </w:tcMar>
            <w:vAlign w:val="top"/>
          </w:tcPr>
          <w:p>
            <w:r/>
            <w:r>
              <w:rPr>
                <w:rFonts w:ascii="Aptos" w:hAnsi="Aptos"/>
                <w:b/>
                <w:i w:val="0"/>
                <w:color w:val="1E2F38"/>
                <w:sz w:val="18"/>
              </w:rPr>
              <w:t>Revenue and paying customers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Funding raised and partner list</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Website</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Public pitch-deck Drive link</w:t>
            </w:r>
          </w:p>
        </w:tc>
        <w:tc>
          <w:tcPr>
            <w:tcW w:type="dxa" w:w="5760"/>
            <w:tcMar>
              <w:top w:w="100" w:type="dxa"/>
              <w:start w:w="120" w:type="dxa"/>
              <w:bottom w:w="100" w:type="dxa"/>
              <w:end w:w="120" w:type="dxa"/>
            </w:tcMar>
            <w:shd w:fill="E8F3F2"/>
            <w:vAlign w:val="top"/>
          </w:tcPr>
          <w:p>
            <w:r/>
            <w:r>
              <w:rPr>
                <w:rFonts w:ascii="Aptos" w:hAnsi="Aptos"/>
                <w:b w:val="0"/>
                <w:i w:val="0"/>
                <w:color w:val="1E2F38"/>
                <w:sz w:val="18"/>
              </w:rPr>
              <w:t>CONFIRM AFTER UPLOAD (PPT + PDF)</w:t>
            </w:r>
          </w:p>
        </w:tc>
      </w:tr>
    </w:tbl>
    <w:p>
      <w:pPr>
        <w:spacing w:after="20"/>
      </w:pPr>
    </w:p>
    <w:p>
      <w:pPr>
        <w:pStyle w:val="Heading1"/>
        <w:spacing w:before="160" w:after="100"/>
      </w:pPr>
      <w:r>
        <w:t>1. Official programme brief</w:t>
      </w:r>
    </w:p>
    <w:tbl>
      <w:tblPr>
        <w:tblW w:type="auto" w:w="0"/>
        <w:jc w:val="center"/>
        <w:tblLayout w:type="fixed"/>
        <w:tblLook w:firstColumn="1" w:firstRow="1" w:lastColumn="0" w:lastRow="0" w:noHBand="0" w:noVBand="1" w:val="04A0"/>
      </w:tblPr>
      <w:tblGrid>
        <w:gridCol w:w="4917"/>
        <w:gridCol w:w="4917"/>
      </w:tblGrid>
      <w:tr>
        <w:tc>
          <w:tcPr>
            <w:tcW w:type="dxa" w:w="2304"/>
            <w:shd w:fill="0A1F2E"/>
            <w:tcMar>
              <w:top w:w="80" w:type="dxa"/>
              <w:start w:w="120" w:type="dxa"/>
              <w:bottom w:w="80" w:type="dxa"/>
              <w:end w:w="120" w:type="dxa"/>
            </w:tcMar>
            <w:vAlign w:val="center"/>
          </w:tcPr>
          <w:p>
            <w:r/>
            <w:r>
              <w:rPr>
                <w:rFonts w:ascii="Aptos" w:hAnsi="Aptos"/>
                <w:b/>
                <w:i w:val="0"/>
                <w:color w:val="FFFFFF"/>
                <w:sz w:val="18"/>
              </w:rPr>
              <w:t>Item</w:t>
            </w:r>
          </w:p>
        </w:tc>
        <w:tc>
          <w:tcPr>
            <w:tcW w:type="dxa" w:w="7200"/>
            <w:shd w:fill="0A1F2E"/>
            <w:tcMar>
              <w:top w:w="80" w:type="dxa"/>
              <w:start w:w="120" w:type="dxa"/>
              <w:bottom w:w="80" w:type="dxa"/>
              <w:end w:w="120" w:type="dxa"/>
            </w:tcMar>
            <w:vAlign w:val="center"/>
          </w:tcPr>
          <w:p>
            <w:r/>
            <w:r>
              <w:rPr>
                <w:rFonts w:ascii="Aptos" w:hAnsi="Aptos"/>
                <w:b/>
                <w:i w:val="0"/>
                <w:color w:val="FFFFFF"/>
                <w:sz w:val="18"/>
              </w:rPr>
              <w:t>Verified call information</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Programme</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Six-month pan-African health-tech accelerator</w:t>
            </w:r>
          </w:p>
        </w:tc>
      </w:tr>
      <w:tr>
        <w:tc>
          <w:tcPr>
            <w:tcW w:type="dxa" w:w="2304"/>
            <w:tcMar>
              <w:top w:w="100" w:type="dxa"/>
              <w:start w:w="120" w:type="dxa"/>
              <w:bottom w:w="100" w:type="dxa"/>
              <w:end w:w="120" w:type="dxa"/>
            </w:tcMar>
            <w:vAlign w:val="top"/>
          </w:tcPr>
          <w:p>
            <w:r/>
            <w:r>
              <w:rPr>
                <w:rFonts w:ascii="Aptos" w:hAnsi="Aptos"/>
                <w:b/>
                <w:i w:val="0"/>
                <w:color w:val="1E2F38"/>
                <w:sz w:val="18"/>
              </w:rPr>
              <w:t>Delivery</w:t>
            </w:r>
          </w:p>
        </w:tc>
        <w:tc>
          <w:tcPr>
            <w:tcW w:type="dxa" w:w="7200"/>
            <w:tcMar>
              <w:top w:w="100" w:type="dxa"/>
              <w:start w:w="120" w:type="dxa"/>
              <w:bottom w:w="100" w:type="dxa"/>
              <w:end w:w="120" w:type="dxa"/>
            </w:tcMar>
            <w:vAlign w:val="top"/>
          </w:tcPr>
          <w:p>
            <w:r/>
            <w:r>
              <w:rPr>
                <w:rFonts w:ascii="Aptos" w:hAnsi="Aptos"/>
                <w:b w:val="0"/>
                <w:i w:val="0"/>
                <w:color w:val="1E2F38"/>
                <w:sz w:val="18"/>
              </w:rPr>
              <w:t>Primarily online, with one in-person milestone event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Applicant</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Africa-based early-stage health-tech startup or SME</w:t>
            </w:r>
          </w:p>
        </w:tc>
      </w:tr>
      <w:tr>
        <w:tc>
          <w:tcPr>
            <w:tcW w:type="dxa" w:w="2304"/>
            <w:tcMar>
              <w:top w:w="100" w:type="dxa"/>
              <w:start w:w="120" w:type="dxa"/>
              <w:bottom w:w="100" w:type="dxa"/>
              <w:end w:w="120" w:type="dxa"/>
            </w:tcMar>
            <w:vAlign w:val="top"/>
          </w:tcPr>
          <w:p>
            <w:r/>
            <w:r>
              <w:rPr>
                <w:rFonts w:ascii="Aptos" w:hAnsi="Aptos"/>
                <w:b/>
                <w:i w:val="0"/>
                <w:color w:val="1E2F38"/>
                <w:sz w:val="18"/>
              </w:rPr>
              <w:t>Eligibility</w:t>
            </w:r>
          </w:p>
        </w:tc>
        <w:tc>
          <w:tcPr>
            <w:tcW w:type="dxa" w:w="7200"/>
            <w:tcMar>
              <w:top w:w="100" w:type="dxa"/>
              <w:start w:w="120" w:type="dxa"/>
              <w:bottom w:w="100" w:type="dxa"/>
              <w:end w:w="120" w:type="dxa"/>
            </w:tcMar>
            <w:vAlign w:val="top"/>
          </w:tcPr>
          <w:p>
            <w:r/>
            <w:r>
              <w:rPr>
                <w:rFonts w:ascii="Aptos" w:hAnsi="Aptos"/>
                <w:b w:val="0"/>
                <w:i w:val="0"/>
                <w:color w:val="1E2F38"/>
                <w:sz w:val="18"/>
              </w:rPr>
              <w:t>At least two founders; minimum MVP; 80% session commitment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Benefits</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Training, one-to-one mentorship, seed-funding opportunity, investor access, Demo Day exposure, and continental visibility</w:t>
            </w:r>
          </w:p>
        </w:tc>
      </w:tr>
      <w:tr>
        <w:tc>
          <w:tcPr>
            <w:tcW w:type="dxa" w:w="2304"/>
            <w:tcMar>
              <w:top w:w="100" w:type="dxa"/>
              <w:start w:w="120" w:type="dxa"/>
              <w:bottom w:w="100" w:type="dxa"/>
              <w:end w:w="120" w:type="dxa"/>
            </w:tcMar>
            <w:vAlign w:val="top"/>
          </w:tcPr>
          <w:p>
            <w:r/>
            <w:r>
              <w:rPr>
                <w:rFonts w:ascii="Aptos" w:hAnsi="Aptos"/>
                <w:b/>
                <w:i w:val="0"/>
                <w:color w:val="1E2F38"/>
                <w:sz w:val="18"/>
              </w:rPr>
              <w:t>Deadline</w:t>
            </w:r>
          </w:p>
        </w:tc>
        <w:tc>
          <w:tcPr>
            <w:tcW w:type="dxa" w:w="7200"/>
            <w:tcMar>
              <w:top w:w="100" w:type="dxa"/>
              <w:start w:w="120" w:type="dxa"/>
              <w:bottom w:w="100" w:type="dxa"/>
              <w:end w:w="120" w:type="dxa"/>
            </w:tcMar>
            <w:vAlign w:val="top"/>
          </w:tcPr>
          <w:p>
            <w:r/>
            <w:r>
              <w:rPr>
                <w:rFonts w:ascii="Aptos" w:hAnsi="Aptos"/>
                <w:b w:val="0"/>
                <w:i w:val="0"/>
                <w:color w:val="1E2F38"/>
                <w:sz w:val="18"/>
              </w:rPr>
              <w:t>20 July 2026 (extended deadline - recheck before submission)</w:t>
            </w:r>
          </w:p>
        </w:tc>
      </w:tr>
    </w:tbl>
    <w:p>
      <w:pPr>
        <w:spacing w:after="20"/>
      </w:pPr>
    </w:p>
    <w:p>
      <w:pPr>
        <w:pStyle w:val="Heading2"/>
        <w:spacing w:before="160" w:after="100"/>
      </w:pPr>
      <w:r>
        <w:t>1.1 Strong fit with FCHIP</w:t>
      </w:r>
    </w:p>
    <w:p>
      <w:pPr>
        <w:pStyle w:val="ListBullet"/>
        <w:spacing w:after="40"/>
      </w:pPr>
      <w:r>
        <w:rPr>
          <w:rFonts w:ascii="Aptos" w:hAnsi="Aptos"/>
          <w:b w:val="0"/>
          <w:i w:val="0"/>
          <w:color w:val="1E2F38"/>
          <w:sz w:val="20"/>
        </w:rPr>
        <w:t>Digital health platform with health data and analytics at its core.</w:t>
      </w:r>
    </w:p>
    <w:p>
      <w:pPr>
        <w:pStyle w:val="ListBullet"/>
        <w:spacing w:after="40"/>
      </w:pPr>
      <w:r>
        <w:rPr>
          <w:rFonts w:ascii="Aptos" w:hAnsi="Aptos"/>
          <w:b w:val="0"/>
          <w:i w:val="0"/>
          <w:color w:val="1E2F38"/>
          <w:sz w:val="20"/>
        </w:rPr>
        <w:t>AI-assisted risk insight, used only after validation and clinical oversight.</w:t>
      </w:r>
    </w:p>
    <w:p>
      <w:pPr>
        <w:pStyle w:val="ListBullet"/>
        <w:spacing w:after="40"/>
      </w:pPr>
      <w:r>
        <w:rPr>
          <w:rFonts w:ascii="Aptos" w:hAnsi="Aptos"/>
          <w:b w:val="0"/>
          <w:i w:val="0"/>
          <w:color w:val="1E2F38"/>
          <w:sz w:val="20"/>
        </w:rPr>
        <w:t>Preventive health, remote monitoring, secure EMR/HMS APIs, and supply planning.</w:t>
      </w:r>
    </w:p>
    <w:p>
      <w:pPr>
        <w:pStyle w:val="ListBullet"/>
        <w:spacing w:after="40"/>
      </w:pPr>
      <w:r>
        <w:rPr>
          <w:rFonts w:ascii="Aptos" w:hAnsi="Aptos"/>
          <w:b w:val="0"/>
          <w:i w:val="0"/>
          <w:color w:val="1E2F38"/>
          <w:sz w:val="20"/>
        </w:rPr>
        <w:t>Africa-based product with a clear Uganda-to-East-Africa scale path.</w:t>
      </w:r>
    </w:p>
    <w:p>
      <w:pPr>
        <w:pStyle w:val="ListBullet"/>
        <w:spacing w:after="40"/>
      </w:pPr>
      <w:r>
        <w:rPr>
          <w:rFonts w:ascii="Aptos" w:hAnsi="Aptos"/>
          <w:b w:val="0"/>
          <w:i w:val="0"/>
          <w:color w:val="1E2F38"/>
          <w:sz w:val="20"/>
        </w:rPr>
        <w:t>A live care and outreach environment for real-world product validation.</w:t>
      </w:r>
    </w:p>
    <w:p>
      <w:pPr>
        <w:pStyle w:val="Heading2"/>
        <w:spacing w:before="160" w:after="100"/>
      </w:pPr>
      <w:r>
        <w:t>1.2 Programme journey</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Stage</w:t>
            </w:r>
          </w:p>
        </w:tc>
        <w:tc>
          <w:tcPr>
            <w:tcW w:type="dxa" w:w="6912"/>
            <w:shd w:fill="0A1F2E"/>
            <w:tcMar>
              <w:top w:w="80" w:type="dxa"/>
              <w:start w:w="120" w:type="dxa"/>
              <w:bottom w:w="80" w:type="dxa"/>
              <w:end w:w="120" w:type="dxa"/>
            </w:tcMar>
            <w:vAlign w:val="center"/>
          </w:tcPr>
          <w:p>
            <w:r/>
            <w:r>
              <w:rPr>
                <w:rFonts w:ascii="Aptos" w:hAnsi="Aptos"/>
                <w:b/>
                <w:i w:val="0"/>
                <w:color w:val="FFFFFF"/>
                <w:sz w:val="18"/>
              </w:rPr>
              <w:t>Official programme description</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Open call</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Application and screening; deadline extended to 20 July 2026</w:t>
            </w:r>
          </w:p>
        </w:tc>
      </w:tr>
      <w:tr>
        <w:tc>
          <w:tcPr>
            <w:tcW w:type="dxa" w:w="2592"/>
            <w:tcMar>
              <w:top w:w="100" w:type="dxa"/>
              <w:start w:w="120" w:type="dxa"/>
              <w:bottom w:w="100" w:type="dxa"/>
              <w:end w:w="120" w:type="dxa"/>
            </w:tcMar>
            <w:vAlign w:val="top"/>
          </w:tcPr>
          <w:p>
            <w:r/>
            <w:r>
              <w:rPr>
                <w:rFonts w:ascii="Aptos" w:hAnsi="Aptos"/>
                <w:b/>
                <w:i w:val="0"/>
                <w:color w:val="1E2F38"/>
                <w:sz w:val="18"/>
              </w:rPr>
              <w:t>Bootcamp and selection</w:t>
            </w:r>
          </w:p>
        </w:tc>
        <w:tc>
          <w:tcPr>
            <w:tcW w:type="dxa" w:w="6912"/>
            <w:tcMar>
              <w:top w:w="100" w:type="dxa"/>
              <w:start w:w="120" w:type="dxa"/>
              <w:bottom w:w="100" w:type="dxa"/>
              <w:end w:w="120" w:type="dxa"/>
            </w:tcMar>
            <w:vAlign w:val="top"/>
          </w:tcPr>
          <w:p>
            <w:r/>
            <w:r>
              <w:rPr>
                <w:rFonts w:ascii="Aptos" w:hAnsi="Aptos"/>
                <w:b w:val="0"/>
                <w:i w:val="0"/>
                <w:color w:val="1E2F38"/>
                <w:sz w:val="18"/>
              </w:rPr>
              <w:t>Intensive virtual bootcamp; up to 50 startups targeted</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Accelerator</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Weekly sessions, office hours, and Demo Day preparation</w:t>
            </w:r>
          </w:p>
        </w:tc>
      </w:tr>
      <w:tr>
        <w:tc>
          <w:tcPr>
            <w:tcW w:type="dxa" w:w="2592"/>
            <w:tcMar>
              <w:top w:w="100" w:type="dxa"/>
              <w:start w:w="120" w:type="dxa"/>
              <w:bottom w:w="100" w:type="dxa"/>
              <w:end w:w="120" w:type="dxa"/>
            </w:tcMar>
            <w:vAlign w:val="top"/>
          </w:tcPr>
          <w:p>
            <w:r/>
            <w:r>
              <w:rPr>
                <w:rFonts w:ascii="Aptos" w:hAnsi="Aptos"/>
                <w:b/>
                <w:i w:val="0"/>
                <w:color w:val="1E2F38"/>
                <w:sz w:val="18"/>
              </w:rPr>
              <w:t>Closing event</w:t>
            </w:r>
          </w:p>
        </w:tc>
        <w:tc>
          <w:tcPr>
            <w:tcW w:type="dxa" w:w="6912"/>
            <w:tcMar>
              <w:top w:w="100" w:type="dxa"/>
              <w:start w:w="120" w:type="dxa"/>
              <w:bottom w:w="100" w:type="dxa"/>
              <w:end w:w="120" w:type="dxa"/>
            </w:tcMar>
            <w:vAlign w:val="top"/>
          </w:tcPr>
          <w:p>
            <w:r/>
            <w:r>
              <w:rPr>
                <w:rFonts w:ascii="Aptos" w:hAnsi="Aptos"/>
                <w:b w:val="0"/>
                <w:i w:val="0"/>
                <w:color w:val="1E2F38"/>
                <w:sz w:val="18"/>
              </w:rPr>
              <w:t>Pitching, winner announcement, and funding pathway</w:t>
            </w:r>
          </w:p>
        </w:tc>
      </w:tr>
    </w:tbl>
    <w:p>
      <w:pPr>
        <w:spacing w:after="20"/>
      </w:pPr>
    </w:p>
    <w:p>
      <w:r>
        <w:br w:type="page"/>
      </w:r>
    </w:p>
    <w:p>
      <w:pPr>
        <w:pStyle w:val="Heading1"/>
        <w:spacing w:before="160" w:after="100"/>
      </w:pPr>
      <w:r>
        <w:t>2. Portal answer bank</w:t>
      </w:r>
    </w:p>
    <w:p>
      <w:pPr>
        <w:spacing w:after="100"/>
      </w:pPr>
      <w:r>
        <w:rPr>
          <w:rFonts w:ascii="Aptos" w:hAnsi="Aptos"/>
          <w:b w:val="0"/>
          <w:i/>
          <w:color w:val="1E2F38"/>
          <w:sz w:val="20"/>
        </w:rPr>
        <w:t>Copy only verified answers into the live portal. The wording below is submission-ready where facts are known; orange/red fields require the applicant.</w:t>
      </w:r>
    </w:p>
    <w:p>
      <w:pPr>
        <w:pStyle w:val="Heading2"/>
        <w:spacing w:before="160" w:after="100"/>
      </w:pPr>
      <w:r>
        <w:t>Section 1 of 6 - Startup and founding team</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Name*</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FairBanks Community Health Intelligence Platform (FCHIP)</w:t>
            </w:r>
          </w:p>
        </w:tc>
      </w:tr>
      <w:tr>
        <w:tc>
          <w:tcPr>
            <w:tcW w:type="dxa" w:w="3096"/>
            <w:tcMar>
              <w:top w:w="70" w:type="dxa"/>
              <w:start w:w="120" w:type="dxa"/>
              <w:bottom w:w="70" w:type="dxa"/>
              <w:end w:w="120" w:type="dxa"/>
            </w:tcMar>
            <w:vAlign w:val="top"/>
          </w:tcPr>
          <w:p>
            <w:r/>
            <w:r>
              <w:rPr>
                <w:rFonts w:ascii="Aptos" w:hAnsi="Aptos"/>
                <w:b/>
                <w:i w:val="0"/>
                <w:color w:val="1E2F38"/>
                <w:sz w:val="17"/>
              </w:rPr>
              <w:t>Founder Name*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Gender*</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Male or Female]</w:t>
            </w:r>
          </w:p>
        </w:tc>
      </w:tr>
      <w:tr>
        <w:tc>
          <w:tcPr>
            <w:tcW w:type="dxa" w:w="3096"/>
            <w:tcMar>
              <w:top w:w="70" w:type="dxa"/>
              <w:start w:w="120" w:type="dxa"/>
              <w:bottom w:w="70" w:type="dxa"/>
              <w:end w:w="120" w:type="dxa"/>
            </w:tcMar>
            <w:vAlign w:val="top"/>
          </w:tcPr>
          <w:p>
            <w:r/>
            <w:r>
              <w:rPr>
                <w:rFonts w:ascii="Aptos" w:hAnsi="Aptos"/>
                <w:b/>
                <w:i w:val="0"/>
                <w:color w:val="1E2F38"/>
                <w:sz w:val="17"/>
              </w:rPr>
              <w:t>Founder Mobile*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Email*</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Founder LinkedIn</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Website*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Startup Stage*</w:t>
            </w:r>
          </w:p>
        </w:tc>
        <w:tc>
          <w:tcPr>
            <w:tcW w:type="dxa" w:w="6408"/>
            <w:tcMar>
              <w:top w:w="70" w:type="dxa"/>
              <w:start w:w="120" w:type="dxa"/>
              <w:bottom w:w="70" w:type="dxa"/>
              <w:end w:w="120" w:type="dxa"/>
            </w:tcMar>
            <w:vAlign w:val="top"/>
          </w:tcPr>
          <w:p>
            <w:r/>
            <w:r>
              <w:rPr>
                <w:rFonts w:ascii="Aptos" w:hAnsi="Aptos"/>
                <w:b w:val="0"/>
                <w:i w:val="0"/>
                <w:color w:val="1E2F38"/>
                <w:sz w:val="17"/>
              </w:rPr>
              <w:t>MVP - working FCHIP product ready for structured validation in FairBanks Community Reach (applicant-confirmed).</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Country Headquarter*</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Primary African office if headquarters is outside Africa</w:t>
            </w:r>
          </w:p>
        </w:tc>
        <w:tc>
          <w:tcPr>
            <w:tcW w:type="dxa" w:w="6408"/>
            <w:tcMar>
              <w:top w:w="70" w:type="dxa"/>
              <w:start w:w="120" w:type="dxa"/>
              <w:bottom w:w="70" w:type="dxa"/>
              <w:end w:w="120" w:type="dxa"/>
            </w:tcMar>
            <w:vAlign w:val="top"/>
          </w:tcPr>
          <w:p>
            <w:r/>
            <w:r>
              <w:rPr>
                <w:rFonts w:ascii="Aptos" w:hAnsi="Aptos"/>
                <w:b w:val="0"/>
                <w:i w:val="0"/>
                <w:color w:val="1E2F38"/>
                <w:sz w:val="17"/>
              </w:rPr>
              <w:t>Not applicable</w:t>
            </w:r>
          </w:p>
        </w:tc>
      </w:tr>
    </w:tbl>
    <w:p>
      <w:pPr>
        <w:spacing w:after="20"/>
      </w:pPr>
    </w:p>
    <w:p>
      <w:pPr>
        <w:pStyle w:val="Heading2"/>
        <w:spacing w:before="160" w:after="100"/>
      </w:pPr>
      <w:r>
        <w:t>Section 2 of 6 - Startup overview</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Problem Are You Solving?*</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tc>
      </w:tr>
      <w:tr>
        <w:tc>
          <w:tcPr>
            <w:tcW w:type="dxa" w:w="3096"/>
            <w:tcMar>
              <w:top w:w="70" w:type="dxa"/>
              <w:start w:w="120" w:type="dxa"/>
              <w:bottom w:w="70" w:type="dxa"/>
              <w:end w:w="120" w:type="dxa"/>
            </w:tcMar>
            <w:vAlign w:val="top"/>
          </w:tcPr>
          <w:p>
            <w:r/>
            <w:r>
              <w:rPr>
                <w:rFonts w:ascii="Aptos" w:hAnsi="Aptos"/>
                <w:b/>
                <w:i w:val="0"/>
                <w:color w:val="1E2F38"/>
                <w:sz w:val="17"/>
              </w:rPr>
              <w:t>What is Your Solution?*</w:t>
            </w:r>
          </w:p>
        </w:tc>
        <w:tc>
          <w:tcPr>
            <w:tcW w:type="dxa" w:w="6408"/>
            <w:tcMar>
              <w:top w:w="70" w:type="dxa"/>
              <w:start w:w="120" w:type="dxa"/>
              <w:bottom w:w="70" w:type="dxa"/>
              <w:end w:w="120" w:type="dxa"/>
            </w:tcMar>
            <w:vAlign w:val="top"/>
          </w:tcPr>
          <w:p>
            <w:r/>
            <w:r>
              <w:rPr>
                <w:rFonts w:ascii="Aptos" w:hAnsi="Aptos"/>
                <w:b w:val="0"/>
                <w:i w:val="0"/>
                <w:color w:val="1E2F38"/>
                <w:sz w:val="17"/>
              </w:rPr>
              <w:t>FCHIP is an offline-capable community health intelligence platform with a working MVP.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is validating the MVP in its existing medical centre and Community Reach network before expanding to partner clinics and districts.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Who Are Your Target Customers?*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Private and faith-based clinics, district health offices, the Ministry of Health, Uganda health federations, NGOs and development programmes, universities and other teaching and research institutions, and health insurers that need better community-level data, follow-up, early warning, and programme monitoring. CHWs and VHTs are the core frontline users.</w:t>
            </w:r>
          </w:p>
        </w:tc>
      </w:tr>
      <w:tr>
        <w:tc>
          <w:tcPr>
            <w:tcW w:type="dxa" w:w="3096"/>
            <w:tcMar>
              <w:top w:w="70" w:type="dxa"/>
              <w:start w:w="120" w:type="dxa"/>
              <w:bottom w:w="70" w:type="dxa"/>
              <w:end w:w="120" w:type="dxa"/>
            </w:tcMar>
            <w:vAlign w:val="top"/>
          </w:tcPr>
          <w:p>
            <w:r/>
            <w:r>
              <w:rPr>
                <w:rFonts w:ascii="Aptos" w:hAnsi="Aptos"/>
                <w:b/>
                <w:i w:val="0"/>
                <w:color w:val="1E2F38"/>
                <w:sz w:val="17"/>
              </w:rPr>
              <w:t>Startup Innovation Area*</w:t>
            </w:r>
          </w:p>
        </w:tc>
        <w:tc>
          <w:tcPr>
            <w:tcW w:type="dxa" w:w="6408"/>
            <w:tcMar>
              <w:top w:w="70" w:type="dxa"/>
              <w:start w:w="120" w:type="dxa"/>
              <w:bottom w:w="70" w:type="dxa"/>
              <w:end w:w="120" w:type="dxa"/>
            </w:tcMar>
            <w:vAlign w:val="top"/>
          </w:tcPr>
          <w:p>
            <w:r/>
            <w:r>
              <w:rPr>
                <w:rFonts w:ascii="Aptos" w:hAnsi="Aptos"/>
                <w:b w:val="0"/>
                <w:i w:val="0"/>
                <w:color w:val="1E2F38"/>
                <w:sz w:val="17"/>
              </w:rPr>
              <w:t>Select: Digital Health Platforms; Health Data &amp; Analytics; Artificial Intelligence in Healthcare; Electronic Health Records; Remote Patient Monitoring; Preventive Health &amp; Wellness Technologies. Add Pharmaceutical Supply Chain Solutions only if medicine forecasting is in the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areas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Community health intelligence and CHW/VHT decision support</w:t>
            </w:r>
          </w:p>
        </w:tc>
      </w:tr>
      <w:tr>
        <w:tc>
          <w:tcPr>
            <w:tcW w:type="dxa" w:w="3096"/>
            <w:tcMar>
              <w:top w:w="70" w:type="dxa"/>
              <w:start w:w="120" w:type="dxa"/>
              <w:bottom w:w="70" w:type="dxa"/>
              <w:end w:w="120" w:type="dxa"/>
            </w:tcMar>
            <w:vAlign w:val="top"/>
          </w:tcPr>
          <w:p>
            <w:r/>
            <w:r>
              <w:rPr>
                <w:rFonts w:ascii="Aptos" w:hAnsi="Aptos"/>
                <w:b/>
                <w:i w:val="0"/>
                <w:color w:val="1E2F38"/>
                <w:sz w:val="17"/>
              </w:rPr>
              <w:t>What Makes Your Solution Unique?*</w:t>
            </w:r>
          </w:p>
        </w:tc>
        <w:tc>
          <w:tcPr>
            <w:tcW w:type="dxa" w:w="6408"/>
            <w:tcMar>
              <w:top w:w="70" w:type="dxa"/>
              <w:start w:w="120" w:type="dxa"/>
              <w:bottom w:w="70" w:type="dxa"/>
              <w:end w:w="120" w:type="dxa"/>
            </w:tcMar>
            <w:vAlign w:val="top"/>
          </w:tcPr>
          <w:p>
            <w:r/>
            <w:r>
              <w:rPr>
                <w:rFonts w:ascii="Aptos" w:hAnsi="Aptos"/>
                <w:b w:val="0"/>
                <w:i w:val="0"/>
                <w:color w:val="1E2F38"/>
                <w:sz w:val="17"/>
              </w:rPr>
              <w:t>FairBanks combines what many health-tech startups and facilities lack: a live medical centre, active outreach programmes, CHW and VHT links, digital health workflows, and a working FCHIP MVP designed from real community care. This gives the product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Which Countries Are You Operating In?*</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Pitch Deck (upload link)*</w:t>
            </w:r>
          </w:p>
        </w:tc>
        <w:tc>
          <w:tcPr>
            <w:tcW w:type="dxa" w:w="6408"/>
            <w:tcMar>
              <w:top w:w="70" w:type="dxa"/>
              <w:start w:w="120" w:type="dxa"/>
              <w:bottom w:w="70" w:type="dxa"/>
              <w:end w:w="120" w:type="dxa"/>
            </w:tcMar>
            <w:vAlign w:val="top"/>
          </w:tcPr>
          <w:p>
            <w:r/>
            <w:r>
              <w:rPr>
                <w:rFonts w:ascii="Aptos" w:hAnsi="Aptos"/>
                <w:b w:val="0"/>
                <w:i w:val="0"/>
                <w:color w:val="1E2F38"/>
                <w:sz w:val="17"/>
              </w:rPr>
              <w:t>[CONFIRM AFTER UPLOAD] Upload the generated PPT and pitch PDF to Google Drive (G:\My Drive\Application Docs\FairBanks\Africa Health-Tech Accelerator 2026), enable Anyone-with-the-link access, test while signed out, then paste the share URL here.</w:t>
            </w:r>
          </w:p>
        </w:tc>
      </w:tr>
    </w:tbl>
    <w:p>
      <w:pPr>
        <w:spacing w:after="20"/>
      </w:pPr>
    </w:p>
    <w:p>
      <w:pPr>
        <w:pStyle w:val="Heading2"/>
        <w:spacing w:before="160" w:after="100"/>
      </w:pPr>
      <w:r>
        <w:t>Section 3 of 6 - Eligibility screening</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Is your startup based in Africa?*</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Yes - Uganda</w:t>
            </w:r>
          </w:p>
        </w:tc>
      </w:tr>
      <w:tr>
        <w:tc>
          <w:tcPr>
            <w:tcW w:type="dxa" w:w="3096"/>
            <w:tcMar>
              <w:top w:w="70" w:type="dxa"/>
              <w:start w:w="120" w:type="dxa"/>
              <w:bottom w:w="70" w:type="dxa"/>
              <w:end w:w="120" w:type="dxa"/>
            </w:tcMar>
            <w:vAlign w:val="top"/>
          </w:tcPr>
          <w:p>
            <w:r/>
            <w:r>
              <w:rPr>
                <w:rFonts w:ascii="Aptos" w:hAnsi="Aptos"/>
                <w:b/>
                <w:i w:val="0"/>
                <w:color w:val="1E2F38"/>
                <w:sz w:val="17"/>
              </w:rPr>
              <w:t>Does your startup provide a Health-Tech product/service?*</w:t>
            </w:r>
          </w:p>
        </w:tc>
        <w:tc>
          <w:tcPr>
            <w:tcW w:type="dxa" w:w="6408"/>
            <w:tcMar>
              <w:top w:w="70" w:type="dxa"/>
              <w:start w:w="120" w:type="dxa"/>
              <w:bottom w:w="70" w:type="dxa"/>
              <w:end w:w="120" w:type="dxa"/>
            </w:tcMar>
            <w:vAlign w:val="top"/>
          </w:tcPr>
          <w:p>
            <w:r/>
            <w:r>
              <w:rPr>
                <w:rFonts w:ascii="Aptos" w:hAnsi="Aptos"/>
                <w:b w:val="0"/>
                <w:i w:val="0"/>
                <w:color w:val="1E2F38"/>
                <w:sz w:val="17"/>
              </w:rPr>
              <w:t>Yes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Co-Founder Names and Roles*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Total Founders (including yourself)*</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minimum 2]</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Can you commit to 80%+ of programme sessions?*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select Yes only if true]</w:t>
            </w:r>
          </w:p>
        </w:tc>
      </w:tr>
    </w:tbl>
    <w:p>
      <w:pPr>
        <w:spacing w:after="20"/>
      </w:pPr>
    </w:p>
    <w:p>
      <w:pPr>
        <w:pStyle w:val="Heading2"/>
        <w:spacing w:before="160" w:after="100"/>
      </w:pPr>
      <w:r>
        <w:t>Section 4 of 6 - Traction and readiness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Monthly Revenue Range*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Less than $5,000 / $5,000-$20,000 / $20,000-$50,000 / $50,000+]</w:t>
            </w:r>
          </w:p>
        </w:tc>
      </w:tr>
      <w:tr>
        <w:tc>
          <w:tcPr>
            <w:tcW w:type="dxa" w:w="3096"/>
            <w:tcMar>
              <w:top w:w="70" w:type="dxa"/>
              <w:start w:w="120" w:type="dxa"/>
              <w:bottom w:w="70" w:type="dxa"/>
              <w:end w:w="120" w:type="dxa"/>
            </w:tcMar>
            <w:vAlign w:val="top"/>
          </w:tcPr>
          <w:p>
            <w:r/>
            <w:r>
              <w:rPr>
                <w:rFonts w:ascii="Aptos" w:hAnsi="Aptos"/>
                <w:b/>
                <w:i w:val="0"/>
                <w:color w:val="1E2F38"/>
                <w:sz w:val="17"/>
              </w:rPr>
              <w:t>Number of Paying Customers*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0 / 1-10 / 11-50 / 51-200 / 200+]</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Fundraising in the next 6 months?*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vAlign w:val="top"/>
          </w:tcPr>
          <w:p>
            <w:r/>
            <w:r>
              <w:rPr>
                <w:rFonts w:ascii="Aptos" w:hAnsi="Aptos"/>
                <w:b/>
                <w:i w:val="0"/>
                <w:color w:val="1E2F38"/>
                <w:sz w:val="17"/>
              </w:rPr>
              <w:t>Raised funding before?*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If yes, amount raised (USD)</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Current Partners*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Do not count a prospective partner. Portal options: Hospitals/Clinics; Pharma; Insurers; NGOs; Government; Corporates; Universities; None Yet.]</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Partners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Next 6-Month Milestone*</w:t>
            </w:r>
          </w:p>
        </w:tc>
        <w:tc>
          <w:tcPr>
            <w:tcW w:type="dxa" w:w="6408"/>
            <w:tcMar>
              <w:top w:w="70" w:type="dxa"/>
              <w:start w:w="120" w:type="dxa"/>
              <w:bottom w:w="70" w:type="dxa"/>
              <w:end w:w="120" w:type="dxa"/>
            </w:tcMar>
            <w:vAlign w:val="top"/>
          </w:tcPr>
          <w:p>
            <w:r/>
            <w:r>
              <w:rPr>
                <w:rFonts w:ascii="Aptos" w:hAnsi="Aptos"/>
                <w:b w:val="0"/>
                <w:i w:val="0"/>
                <w:color w:val="1E2F38"/>
                <w:sz w:val="17"/>
              </w:rPr>
              <w:t>Validate product-market fit for the working FCHIP MVP with CHWs, facility teams, and partner pathways.</w:t>
            </w:r>
          </w:p>
        </w:tc>
      </w:tr>
    </w:tbl>
    <w:p>
      <w:pPr>
        <w:spacing w:after="20"/>
      </w:pPr>
    </w:p>
    <w:p>
      <w:pPr>
        <w:pStyle w:val="Heading2"/>
        <w:spacing w:before="160" w:after="100"/>
      </w:pPr>
      <w:r>
        <w:t>Section 5 of 6 - Expected support</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Top 3 Priorities*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1. Validation &amp; Market Research; 2. Product Development (UX iteration on the MVP); 3. Partnerships &amp; Ecosystem Access.</w:t>
            </w:r>
          </w:p>
        </w:tc>
      </w:tr>
      <w:tr>
        <w:tc>
          <w:tcPr>
            <w:tcW w:type="dxa" w:w="3096"/>
            <w:tcMar>
              <w:top w:w="70" w:type="dxa"/>
              <w:start w:w="120" w:type="dxa"/>
              <w:bottom w:w="70" w:type="dxa"/>
              <w:end w:w="120" w:type="dxa"/>
            </w:tcMar>
            <w:vAlign w:val="top"/>
          </w:tcPr>
          <w:p>
            <w:r/>
            <w:r>
              <w:rPr>
                <w:rFonts w:ascii="Aptos" w:hAnsi="Aptos"/>
                <w:b/>
                <w:i w:val="0"/>
                <w:color w:val="1E2F38"/>
                <w:sz w:val="17"/>
              </w:rPr>
              <w:t>Alternative priority</w:t>
            </w:r>
          </w:p>
        </w:tc>
        <w:tc>
          <w:tcPr>
            <w:tcW w:type="dxa" w:w="6408"/>
            <w:tcMar>
              <w:top w:w="70" w:type="dxa"/>
              <w:start w:w="120" w:type="dxa"/>
              <w:bottom w:w="70" w:type="dxa"/>
              <w:end w:w="120" w:type="dxa"/>
            </w:tcMar>
            <w:vAlign w:val="top"/>
          </w:tcPr>
          <w:p>
            <w:r/>
            <w:r>
              <w:rPr>
                <w:rFonts w:ascii="Aptos" w:hAnsi="Aptos"/>
                <w:b w:val="0"/>
                <w:i w:val="0"/>
                <w:color w:val="1E2F38"/>
                <w:sz w:val="17"/>
              </w:rPr>
              <w:t>Replace Product Development with Investment Readiness &amp; Fundraising if the MVP is already stable and validated.</w:t>
            </w:r>
          </w:p>
        </w:tc>
      </w:tr>
    </w:tbl>
    <w:p>
      <w:pPr>
        <w:spacing w:after="20"/>
      </w:pPr>
    </w:p>
    <w:p>
      <w:pPr>
        <w:pStyle w:val="Heading2"/>
        <w:spacing w:before="160" w:after="100"/>
      </w:pPr>
      <w:r>
        <w:t>Section 6 of 6 - Final notes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is your biggest bottleneck right now?*</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Our biggest bottleneck is converting a working MVP and a strong real-world health delivery foundation into validated, investment-ready traction. We need disciplined product-market fit evidence with CHWs and facility teams, clearer buying pathways beyond one FairBanks catchment, and partnerships that support deployment at district and programme scale. We also need to strengthen our evidence, data-governance, and fundraising package without overbuilding before the highest-value workflows are proven.</w:t>
            </w:r>
          </w:p>
        </w:tc>
      </w:tr>
      <w:tr>
        <w:tc>
          <w:tcPr>
            <w:tcW w:type="dxa" w:w="3096"/>
            <w:tcMar>
              <w:top w:w="70" w:type="dxa"/>
              <w:start w:w="120" w:type="dxa"/>
              <w:bottom w:w="70" w:type="dxa"/>
              <w:end w:w="120" w:type="dxa"/>
            </w:tcMar>
            <w:vAlign w:val="top"/>
          </w:tcPr>
          <w:p>
            <w:r/>
            <w:r>
              <w:rPr>
                <w:rFonts w:ascii="Aptos" w:hAnsi="Aptos"/>
                <w:b/>
                <w:i w:val="0"/>
                <w:color w:val="1E2F38"/>
                <w:sz w:val="17"/>
              </w:rPr>
              <w:t>Why do you want to join Africa Health-Tech Accelerator?*</w:t>
            </w:r>
          </w:p>
        </w:tc>
        <w:tc>
          <w:tcPr>
            <w:tcW w:type="dxa" w:w="6408"/>
            <w:tcMar>
              <w:top w:w="70" w:type="dxa"/>
              <w:start w:w="120" w:type="dxa"/>
              <w:bottom w:w="70" w:type="dxa"/>
              <w:end w:w="120" w:type="dxa"/>
            </w:tcMar>
            <w:vAlign w:val="top"/>
          </w:tcPr>
          <w:p>
            <w:r/>
            <w:r>
              <w:rPr>
                <w:rFonts w:ascii="Aptos" w:hAnsi="Aptos"/>
                <w:b w:val="0"/>
                <w:i w:val="0"/>
                <w:color w:val="1E2F38"/>
                <w:sz w:val="17"/>
              </w:rPr>
              <w:t>The accelerator directly matches FCHIP's next milestone: validate an Africa-built digital health MVP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How did you hear about the programme?*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choose the truthful portal option. Use Other if discovered through an opportunity listing.]</w:t>
            </w:r>
          </w:p>
        </w:tc>
      </w:tr>
    </w:tbl>
    <w:p>
      <w:pPr>
        <w:spacing w:after="20"/>
      </w:pPr>
    </w:p>
    <w:p>
      <w:r>
        <w:br w:type="page"/>
      </w:r>
    </w:p>
    <w:p>
      <w:pPr>
        <w:pStyle w:val="Heading1"/>
        <w:spacing w:before="160" w:after="100"/>
      </w:pPr>
      <w:r>
        <w:t>3. Venture narrative</w:t>
      </w:r>
    </w:p>
    <w:p>
      <w:pPr>
        <w:jc w:val="center"/>
      </w:pPr>
      <w:r>
        <w:drawing>
          <wp:inline xmlns:a="http://schemas.openxmlformats.org/drawingml/2006/main" xmlns:pic="http://schemas.openxmlformats.org/drawingml/2006/picture">
            <wp:extent cx="6126480" cy="4084320"/>
            <wp:docPr id="3" name="Picture 3"/>
            <wp:cNvGraphicFramePr>
              <a:graphicFrameLocks noChangeAspect="1"/>
            </wp:cNvGraphicFramePr>
            <a:graphic>
              <a:graphicData uri="http://schemas.openxmlformats.org/drawingml/2006/picture">
                <pic:pic>
                  <pic:nvPicPr>
                    <pic:cNvPr id="0" name="outreach_bp_screening.jpeg"/>
                    <pic:cNvPicPr/>
                  </pic:nvPicPr>
                  <pic:blipFill>
                    <a:blip r:embed="rId13"/>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FairBanks outreach provides a real environment for FCHIP product validation.</w:t>
      </w:r>
    </w:p>
    <w:p>
      <w:pPr>
        <w:pStyle w:val="Heading2"/>
        <w:spacing w:before="160" w:after="100"/>
      </w:pPr>
      <w:r>
        <w:t>3.1 Problem</w:t>
      </w:r>
    </w:p>
    <w:p>
      <w:pPr>
        <w:spacing w:after="100"/>
      </w:pPr>
      <w:r>
        <w:rPr>
          <w:rFonts w:ascii="Aptos" w:hAnsi="Aptos"/>
          <w:b w:val="0"/>
          <w:i w:val="0"/>
          <w:color w:val="1E2F38"/>
          <w:sz w:val="20"/>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p>
      <w:pPr>
        <w:pStyle w:val="Heading2"/>
        <w:spacing w:before="160" w:after="100"/>
      </w:pPr>
      <w:r>
        <w:t>3.2 Solution</w:t>
      </w:r>
    </w:p>
    <w:p>
      <w:pPr>
        <w:spacing w:after="100"/>
      </w:pPr>
      <w:r>
        <w:rPr>
          <w:rFonts w:ascii="Aptos" w:hAnsi="Aptos"/>
          <w:b w:val="0"/>
          <w:i w:val="0"/>
          <w:color w:val="1E2F38"/>
          <w:sz w:val="20"/>
        </w:rPr>
        <w:t>FCHIP is an offline-capable community health intelligence platform with a working MVP.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is validating the MVP in its existing medical centre and Community Reach network before expanding to partner clinics and districts.</w:t>
      </w:r>
    </w:p>
    <w:p>
      <w:pPr>
        <w:pStyle w:val="Heading2"/>
        <w:spacing w:before="160" w:after="100"/>
      </w:pPr>
      <w:r>
        <w:t>3.3 Competitive advantage</w:t>
      </w:r>
    </w:p>
    <w:p>
      <w:pPr>
        <w:spacing w:after="100"/>
      </w:pPr>
      <w:r>
        <w:rPr>
          <w:rFonts w:ascii="Aptos" w:hAnsi="Aptos"/>
          <w:b w:val="0"/>
          <w:i w:val="0"/>
          <w:color w:val="1E2F38"/>
          <w:sz w:val="20"/>
        </w:rPr>
        <w:t>FairBanks combines what many health-tech startups and facilities lack: a live medical centre, active outreach programmes, CHW and VHT links, digital health workflows, and a working FCHIP MVP designed from real community care. This gives the product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p>
      <w:pPr>
        <w:pStyle w:val="Heading1"/>
        <w:spacing w:before="160" w:after="100"/>
      </w:pPr>
      <w:r>
        <w:t>4. Product and technology</w:t>
      </w:r>
    </w:p>
    <w:p>
      <w:pPr>
        <w:jc w:val="center"/>
      </w:pPr>
      <w:r>
        <w:drawing>
          <wp:inline xmlns:a="http://schemas.openxmlformats.org/drawingml/2006/main" xmlns:pic="http://schemas.openxmlformats.org/drawingml/2006/picture">
            <wp:extent cx="6126480" cy="4084320"/>
            <wp:docPr id="4" name="Picture 4"/>
            <wp:cNvGraphicFramePr>
              <a:graphicFrameLocks noChangeAspect="1"/>
            </wp:cNvGraphicFramePr>
            <a:graphic>
              <a:graphicData uri="http://schemas.openxmlformats.org/drawingml/2006/picture">
                <pic:pic>
                  <pic:nvPicPr>
                    <pic:cNvPr id="0" name="dashboard_demo.png"/>
                    <pic:cNvPicPr/>
                  </pic:nvPicPr>
                  <pic:blipFill>
                    <a:blip r:embed="rId14"/>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FCHIP dashboard concept - illustrative, not evidence of a deployed product.</w:t>
      </w:r>
    </w:p>
    <w:tbl>
      <w:tblPr>
        <w:tblW w:type="auto" w:w="0"/>
        <w:jc w:val="center"/>
        <w:tblLayout w:type="fixed"/>
        <w:tblLook w:firstColumn="1" w:firstRow="1" w:lastColumn="0" w:lastRow="0" w:noHBand="0" w:noVBand="1" w:val="04A0"/>
      </w:tblPr>
      <w:tblGrid>
        <w:gridCol w:w="4917"/>
        <w:gridCol w:w="4917"/>
      </w:tblGrid>
      <w:tr>
        <w:tc>
          <w:tcPr>
            <w:tcW w:type="dxa" w:w="2880"/>
            <w:shd w:fill="0A1F2E"/>
            <w:tcMar>
              <w:top w:w="80" w:type="dxa"/>
              <w:start w:w="120" w:type="dxa"/>
              <w:bottom w:w="80" w:type="dxa"/>
              <w:end w:w="120" w:type="dxa"/>
            </w:tcMar>
            <w:vAlign w:val="center"/>
          </w:tcPr>
          <w:p>
            <w:r/>
            <w:r>
              <w:rPr>
                <w:rFonts w:ascii="Aptos" w:hAnsi="Aptos"/>
                <w:b/>
                <w:i w:val="0"/>
                <w:color w:val="FFFFFF"/>
                <w:sz w:val="18"/>
              </w:rPr>
              <w:t>Product layer</w:t>
            </w:r>
          </w:p>
        </w:tc>
        <w:tc>
          <w:tcPr>
            <w:tcW w:type="dxa" w:w="6624"/>
            <w:shd w:fill="0A1F2E"/>
            <w:tcMar>
              <w:top w:w="80" w:type="dxa"/>
              <w:start w:w="120" w:type="dxa"/>
              <w:bottom w:w="80" w:type="dxa"/>
              <w:end w:w="120" w:type="dxa"/>
            </w:tcMar>
            <w:vAlign w:val="center"/>
          </w:tcPr>
          <w:p>
            <w:r/>
            <w:r>
              <w:rPr>
                <w:rFonts w:ascii="Aptos" w:hAnsi="Aptos"/>
                <w:b/>
                <w:i w:val="0"/>
                <w:color w:val="FFFFFF"/>
                <w:sz w:val="18"/>
              </w:rPr>
              <w:t>Role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Offline mobile capture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Structured CHW/VHT visits, vitals, referrals, and follow-up</w:t>
            </w:r>
          </w:p>
        </w:tc>
      </w:tr>
      <w:tr>
        <w:tc>
          <w:tcPr>
            <w:tcW w:type="dxa" w:w="2880"/>
            <w:tcMar>
              <w:top w:w="100" w:type="dxa"/>
              <w:start w:w="120" w:type="dxa"/>
              <w:bottom w:w="100" w:type="dxa"/>
              <w:end w:w="120" w:type="dxa"/>
            </w:tcMar>
            <w:vAlign w:val="top"/>
          </w:tcPr>
          <w:p>
            <w:r/>
            <w:r>
              <w:rPr>
                <w:rFonts w:ascii="Aptos" w:hAnsi="Aptos"/>
                <w:b/>
                <w:i w:val="0"/>
                <w:color w:val="1E2F38"/>
                <w:sz w:val="18"/>
              </w:rPr>
              <w:t>Secure EMR/HMS data APIs</w:t>
            </w:r>
          </w:p>
        </w:tc>
        <w:tc>
          <w:tcPr>
            <w:tcW w:type="dxa" w:w="6624"/>
            <w:tcMar>
              <w:top w:w="100" w:type="dxa"/>
              <w:start w:w="120" w:type="dxa"/>
              <w:bottom w:w="100" w:type="dxa"/>
              <w:end w:w="120" w:type="dxa"/>
            </w:tcMar>
            <w:vAlign w:val="top"/>
          </w:tcPr>
          <w:p>
            <w:r/>
            <w:r>
              <w:rPr>
                <w:rFonts w:ascii="Aptos" w:hAnsi="Aptos"/>
                <w:b w:val="0"/>
                <w:i w:val="0"/>
                <w:color w:val="1E2F38"/>
                <w:sz w:val="18"/>
              </w:rPr>
              <w:t>Authenticated, consent-aware APIs so existing EMR/HMS systems can share clinical data in real time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Secure data pipeline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Validation, consent, role-based access, and approved integrations</w:t>
            </w:r>
          </w:p>
        </w:tc>
      </w:tr>
      <w:tr>
        <w:tc>
          <w:tcPr>
            <w:tcW w:type="dxa" w:w="2880"/>
            <w:tcMar>
              <w:top w:w="100" w:type="dxa"/>
              <w:start w:w="120" w:type="dxa"/>
              <w:bottom w:w="100" w:type="dxa"/>
              <w:end w:w="120" w:type="dxa"/>
            </w:tcMar>
            <w:vAlign w:val="top"/>
          </w:tcPr>
          <w:p>
            <w:r/>
            <w:r>
              <w:rPr>
                <w:rFonts w:ascii="Aptos" w:hAnsi="Aptos"/>
                <w:b/>
                <w:i w:val="0"/>
                <w:color w:val="1E2F38"/>
                <w:sz w:val="18"/>
              </w:rPr>
              <w:t>Analytics and AI</w:t>
            </w:r>
          </w:p>
        </w:tc>
        <w:tc>
          <w:tcPr>
            <w:tcW w:type="dxa" w:w="6624"/>
            <w:tcMar>
              <w:top w:w="100" w:type="dxa"/>
              <w:start w:w="120" w:type="dxa"/>
              <w:bottom w:w="100" w:type="dxa"/>
              <w:end w:w="120" w:type="dxa"/>
            </w:tcMar>
            <w:vAlign w:val="top"/>
          </w:tcPr>
          <w:p>
            <w:r/>
            <w:r>
              <w:rPr>
                <w:rFonts w:ascii="Aptos" w:hAnsi="Aptos"/>
                <w:b w:val="0"/>
                <w:i w:val="0"/>
                <w:color w:val="1E2F38"/>
                <w:sz w:val="18"/>
              </w:rPr>
              <w:t>Start with interpretable rules; add validated ML as data quality grows</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GIS risk layer</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Community hotspots, coverage gaps, and outreach priorities</w:t>
            </w:r>
          </w:p>
        </w:tc>
      </w:tr>
      <w:tr>
        <w:tc>
          <w:tcPr>
            <w:tcW w:type="dxa" w:w="2880"/>
            <w:tcMar>
              <w:top w:w="100" w:type="dxa"/>
              <w:start w:w="120" w:type="dxa"/>
              <w:bottom w:w="100" w:type="dxa"/>
              <w:end w:w="120" w:type="dxa"/>
            </w:tcMar>
            <w:vAlign w:val="top"/>
          </w:tcPr>
          <w:p>
            <w:r/>
            <w:r>
              <w:rPr>
                <w:rFonts w:ascii="Aptos" w:hAnsi="Aptos"/>
                <w:b/>
                <w:i w:val="0"/>
                <w:color w:val="1E2F38"/>
                <w:sz w:val="18"/>
              </w:rPr>
              <w:t>Action dashboard</w:t>
            </w:r>
          </w:p>
        </w:tc>
        <w:tc>
          <w:tcPr>
            <w:tcW w:type="dxa" w:w="6624"/>
            <w:tcMar>
              <w:top w:w="100" w:type="dxa"/>
              <w:start w:w="120" w:type="dxa"/>
              <w:bottom w:w="100" w:type="dxa"/>
              <w:end w:w="120" w:type="dxa"/>
            </w:tcMar>
            <w:vAlign w:val="top"/>
          </w:tcPr>
          <w:p>
            <w:r/>
            <w:r>
              <w:rPr>
                <w:rFonts w:ascii="Aptos" w:hAnsi="Aptos"/>
                <w:b w:val="0"/>
                <w:i w:val="0"/>
                <w:color w:val="1E2F38"/>
                <w:sz w:val="18"/>
              </w:rPr>
              <w:t>Alerts, referrals, trends, data quality, and medicine planning</w:t>
            </w:r>
          </w:p>
        </w:tc>
      </w:tr>
    </w:tbl>
    <w:p>
      <w:pPr>
        <w:spacing w:after="20"/>
      </w:pPr>
    </w:p>
    <w:p>
      <w:pPr>
        <w:spacing w:after="100"/>
      </w:pPr>
      <w:r>
        <w:rPr>
          <w:rFonts w:ascii="Aptos" w:hAnsi="Aptos"/>
          <w:b/>
          <w:i w:val="0"/>
          <w:color w:val="1E2F38"/>
          <w:sz w:val="20"/>
        </w:rPr>
        <w:t>Responsible AI position: begin with simple, explainable rules and clinician review. Add machine-learning models only when the training data, bias checks, monitoring, and clinical validation are adequate.</w:t>
      </w:r>
    </w:p>
    <w:p>
      <w:pPr>
        <w:pStyle w:val="Heading1"/>
        <w:spacing w:before="160" w:after="100"/>
      </w:pPr>
      <w:r>
        <w:t>5. Target customers and business model</w:t>
      </w:r>
    </w:p>
    <w:p>
      <w:pPr>
        <w:spacing w:after="100"/>
      </w:pPr>
      <w:r>
        <w:rPr>
          <w:rFonts w:ascii="Aptos" w:hAnsi="Aptos"/>
          <w:b w:val="0"/>
          <w:i w:val="0"/>
          <w:color w:val="1E2F38"/>
          <w:sz w:val="20"/>
        </w:rPr>
        <w:t>Private and faith-based clinics, district health offices, the Ministry of Health, Uganda health federations, NGOs and development programmes, universities and other teaching and research institutions, and health insurers that need better community-level data, follow-up, early warning, and programme monitoring. CHWs and VHTs are the core frontline users.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Customer</w:t>
            </w:r>
          </w:p>
        </w:tc>
        <w:tc>
          <w:tcPr>
            <w:tcW w:type="dxa" w:w="6480"/>
            <w:shd w:fill="0A1F2E"/>
            <w:tcMar>
              <w:top w:w="80" w:type="dxa"/>
              <w:start w:w="120" w:type="dxa"/>
              <w:bottom w:w="80" w:type="dxa"/>
              <w:end w:w="120" w:type="dxa"/>
            </w:tcMar>
            <w:vAlign w:val="center"/>
          </w:tcPr>
          <w:p>
            <w:r/>
            <w:r>
              <w:rPr>
                <w:rFonts w:ascii="Aptos" w:hAnsi="Aptos"/>
                <w:b/>
                <w:i w:val="0"/>
                <w:color w:val="FFFFFF"/>
                <w:sz w:val="18"/>
              </w:rPr>
              <w:t>Revenue path</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Clinics and hospitals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Subscription plus onboarding and support</w:t>
            </w:r>
          </w:p>
        </w:tc>
      </w:tr>
      <w:tr>
        <w:tc>
          <w:tcPr>
            <w:tcW w:type="dxa" w:w="3024"/>
            <w:tcMar>
              <w:top w:w="100" w:type="dxa"/>
              <w:start w:w="120" w:type="dxa"/>
              <w:bottom w:w="100" w:type="dxa"/>
              <w:end w:w="120" w:type="dxa"/>
            </w:tcMar>
            <w:vAlign w:val="top"/>
          </w:tcPr>
          <w:p>
            <w:r/>
            <w:r>
              <w:rPr>
                <w:rFonts w:ascii="Aptos" w:hAnsi="Aptos"/>
                <w:b/>
                <w:i w:val="0"/>
                <w:color w:val="1E2F38"/>
                <w:sz w:val="18"/>
              </w:rPr>
              <w:t>Districts and ministries</w:t>
            </w:r>
          </w:p>
        </w:tc>
        <w:tc>
          <w:tcPr>
            <w:tcW w:type="dxa" w:w="6480"/>
            <w:tcMar>
              <w:top w:w="100" w:type="dxa"/>
              <w:start w:w="120" w:type="dxa"/>
              <w:bottom w:w="100" w:type="dxa"/>
              <w:end w:w="120" w:type="dxa"/>
            </w:tcMar>
            <w:vAlign w:val="top"/>
          </w:tcPr>
          <w:p>
            <w:r/>
            <w:r>
              <w:rPr>
                <w:rFonts w:ascii="Aptos" w:hAnsi="Aptos"/>
                <w:b w:val="0"/>
                <w:i w:val="0"/>
                <w:color w:val="1E2F38"/>
                <w:sz w:val="18"/>
              </w:rPr>
              <w:t>Deployment, implementation, and analytics contracts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NGOs and programmes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Monitoring, evaluation, workflow, and reporting contracts</w:t>
            </w:r>
          </w:p>
        </w:tc>
      </w:tr>
      <w:tr>
        <w:tc>
          <w:tcPr>
            <w:tcW w:type="dxa" w:w="3024"/>
            <w:tcMar>
              <w:top w:w="100" w:type="dxa"/>
              <w:start w:w="120" w:type="dxa"/>
              <w:bottom w:w="100" w:type="dxa"/>
              <w:end w:w="120" w:type="dxa"/>
            </w:tcMar>
            <w:vAlign w:val="top"/>
          </w:tcPr>
          <w:p>
            <w:r/>
            <w:r>
              <w:rPr>
                <w:rFonts w:ascii="Aptos" w:hAnsi="Aptos"/>
                <w:b/>
                <w:i w:val="0"/>
                <w:color w:val="1E2F38"/>
                <w:sz w:val="18"/>
              </w:rPr>
              <w:t>Research partners</w:t>
            </w:r>
          </w:p>
        </w:tc>
        <w:tc>
          <w:tcPr>
            <w:tcW w:type="dxa" w:w="6480"/>
            <w:tcMar>
              <w:top w:w="100" w:type="dxa"/>
              <w:start w:w="120" w:type="dxa"/>
              <w:bottom w:w="100" w:type="dxa"/>
              <w:end w:w="120" w:type="dxa"/>
            </w:tcMar>
            <w:vAlign w:val="top"/>
          </w:tcPr>
          <w:p>
            <w:r/>
            <w:r>
              <w:rPr>
                <w:rFonts w:ascii="Aptos" w:hAnsi="Aptos"/>
                <w:b w:val="0"/>
                <w:i w:val="0"/>
                <w:color w:val="1E2F38"/>
                <w:sz w:val="18"/>
              </w:rPr>
              <w:t>Ethical study tools and approved anonymised analytics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Digital health partners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Secure EMR/HMS data APIs and other integration services</w:t>
            </w:r>
          </w:p>
        </w:tc>
      </w:tr>
      <w:tr>
        <w:tc>
          <w:tcPr>
            <w:tcW w:type="dxa" w:w="3024"/>
            <w:tcMar>
              <w:top w:w="100" w:type="dxa"/>
              <w:start w:w="120" w:type="dxa"/>
              <w:bottom w:w="100" w:type="dxa"/>
              <w:end w:w="120" w:type="dxa"/>
            </w:tcMar>
            <w:vAlign w:val="top"/>
          </w:tcPr>
          <w:p>
            <w:r/>
            <w:r>
              <w:rPr>
                <w:rFonts w:ascii="Aptos" w:hAnsi="Aptos"/>
                <w:b/>
                <w:i w:val="0"/>
                <w:color w:val="1E2F38"/>
                <w:sz w:val="18"/>
              </w:rPr>
              <w:t>CHW organisations</w:t>
            </w:r>
          </w:p>
        </w:tc>
        <w:tc>
          <w:tcPr>
            <w:tcW w:type="dxa" w:w="6480"/>
            <w:tcMar>
              <w:top w:w="100" w:type="dxa"/>
              <w:start w:w="120" w:type="dxa"/>
              <w:bottom w:w="100" w:type="dxa"/>
              <w:end w:w="120" w:type="dxa"/>
            </w:tcMar>
            <w:vAlign w:val="top"/>
          </w:tcPr>
          <w:p>
            <w:r/>
            <w:r>
              <w:rPr>
                <w:rFonts w:ascii="Aptos" w:hAnsi="Aptos"/>
                <w:b w:val="0"/>
                <w:i w:val="0"/>
                <w:color w:val="1E2F38"/>
                <w:sz w:val="18"/>
              </w:rPr>
              <w:t>Training and implementation support</w:t>
            </w:r>
          </w:p>
        </w:tc>
      </w:tr>
    </w:tbl>
    <w:p>
      <w:pPr>
        <w:spacing w:after="20"/>
      </w:pPr>
    </w:p>
    <w:p>
      <w:pPr>
        <w:pStyle w:val="Heading2"/>
        <w:spacing w:before="160" w:after="100"/>
      </w:pPr>
      <w:r>
        <w:t>5.1 Market-entry logic</w:t>
      </w:r>
    </w:p>
    <w:p>
      <w:pPr>
        <w:pStyle w:val="ListBullet"/>
        <w:spacing w:after="40"/>
      </w:pPr>
      <w:r>
        <w:rPr>
          <w:rFonts w:ascii="Aptos" w:hAnsi="Aptos"/>
          <w:b w:val="0"/>
          <w:i w:val="0"/>
          <w:color w:val="1E2F38"/>
          <w:sz w:val="20"/>
        </w:rPr>
        <w:t>Beachhead: FairBanks catchment and Kampala-area outreach workflows.</w:t>
      </w:r>
    </w:p>
    <w:p>
      <w:pPr>
        <w:pStyle w:val="ListBullet"/>
        <w:spacing w:after="40"/>
      </w:pPr>
      <w:r>
        <w:rPr>
          <w:rFonts w:ascii="Aptos" w:hAnsi="Aptos"/>
          <w:b w:val="0"/>
          <w:i w:val="0"/>
          <w:color w:val="1E2F38"/>
          <w:sz w:val="20"/>
        </w:rPr>
        <w:t>First external buyers: clinics and health programmes needing follow-up and reporting.</w:t>
      </w:r>
    </w:p>
    <w:p>
      <w:pPr>
        <w:pStyle w:val="ListBullet"/>
        <w:spacing w:after="40"/>
      </w:pPr>
      <w:r>
        <w:rPr>
          <w:rFonts w:ascii="Aptos" w:hAnsi="Aptos"/>
          <w:b w:val="0"/>
          <w:i w:val="0"/>
          <w:color w:val="1E2F38"/>
          <w:sz w:val="20"/>
        </w:rPr>
        <w:t>Institutional scale: district, NGO, research, insurer, and ministry deployments.</w:t>
      </w:r>
    </w:p>
    <w:p>
      <w:pPr>
        <w:pStyle w:val="ListBullet"/>
        <w:spacing w:after="40"/>
      </w:pPr>
      <w:r>
        <w:rPr>
          <w:rFonts w:ascii="Aptos" w:hAnsi="Aptos"/>
          <w:b w:val="0"/>
          <w:i w:val="0"/>
          <w:color w:val="1E2F38"/>
          <w:sz w:val="20"/>
        </w:rPr>
        <w:t>Regional scale: adapt to countries with established CHW systems and similar care gaps.</w:t>
      </w:r>
    </w:p>
    <w:p>
      <w:r>
        <w:br w:type="page"/>
      </w:r>
    </w:p>
    <w:p>
      <w:pPr>
        <w:pStyle w:val="Heading1"/>
        <w:spacing w:before="160" w:after="100"/>
      </w:pPr>
      <w:r>
        <w:t>6. Traction and honest evidence</w:t>
      </w:r>
    </w:p>
    <w:p>
      <w:pPr>
        <w:jc w:val="center"/>
      </w:pPr>
      <w:r>
        <w:drawing>
          <wp:inline xmlns:a="http://schemas.openxmlformats.org/drawingml/2006/main" xmlns:pic="http://schemas.openxmlformats.org/drawingml/2006/picture">
            <wp:extent cx="5486400" cy="7540371"/>
            <wp:docPr id="5" name="Picture 5"/>
            <wp:cNvGraphicFramePr>
              <a:graphicFrameLocks noChangeAspect="1"/>
            </wp:cNvGraphicFramePr>
            <a:graphic>
              <a:graphicData uri="http://schemas.openxmlformats.org/drawingml/2006/picture">
                <pic:pic>
                  <pic:nvPicPr>
                    <pic:cNvPr id="0" name="concept_improved.jpeg"/>
                    <pic:cNvPicPr/>
                  </pic:nvPicPr>
                  <pic:blipFill>
                    <a:blip r:embed="rId15"/>
                    <a:stretch>
                      <a:fillRect/>
                    </a:stretch>
                  </pic:blipFill>
                  <pic:spPr>
                    <a:xfrm>
                      <a:off x="0" y="0"/>
                      <a:ext cx="5486400" cy="7540371"/>
                    </a:xfrm>
                    <a:prstGeom prst="rect"/>
                  </pic:spPr>
                </pic:pic>
              </a:graphicData>
            </a:graphic>
          </wp:inline>
        </w:drawing>
      </w:r>
    </w:p>
    <w:p>
      <w:pPr>
        <w:jc w:val="center"/>
      </w:pPr>
      <w:r>
        <w:rPr>
          <w:rFonts w:ascii="Aptos" w:hAnsi="Aptos"/>
          <w:b w:val="0"/>
          <w:i/>
          <w:color w:val="52636C"/>
          <w:sz w:val="16"/>
        </w:rPr>
        <w:t>FairBanks Community Reach operating model - FCHIP is the intelligence layer.</w:t>
      </w:r>
    </w:p>
    <w:p>
      <w:pPr>
        <w:pStyle w:val="ListBullet"/>
        <w:spacing w:after="40"/>
      </w:pPr>
      <w:r>
        <w:rPr>
          <w:rFonts w:ascii="Aptos" w:hAnsi="Aptos"/>
          <w:b w:val="0"/>
          <w:i w:val="0"/>
          <w:color w:val="1E2F38"/>
          <w:sz w:val="20"/>
        </w:rPr>
        <w:t>Functioning FairBanks Medical Centre with direct access to care workflows.</w:t>
      </w:r>
    </w:p>
    <w:p>
      <w:pPr>
        <w:pStyle w:val="ListBullet"/>
        <w:spacing w:after="40"/>
      </w:pPr>
      <w:r>
        <w:rPr>
          <w:rFonts w:ascii="Aptos" w:hAnsi="Aptos"/>
          <w:b w:val="0"/>
          <w:i w:val="0"/>
          <w:color w:val="1E2F38"/>
          <w:sz w:val="20"/>
        </w:rPr>
        <w:t>Community Reach activity in Bukoto, Kyebando, Kisaasi, Kamwokya, Kikaaya, and nearby areas.</w:t>
      </w:r>
    </w:p>
    <w:p>
      <w:pPr>
        <w:pStyle w:val="ListBullet"/>
        <w:spacing w:after="40"/>
      </w:pPr>
      <w:r>
        <w:rPr>
          <w:rFonts w:ascii="Aptos" w:hAnsi="Aptos"/>
          <w:b w:val="0"/>
          <w:i w:val="0"/>
          <w:color w:val="1E2F38"/>
          <w:sz w:val="20"/>
        </w:rPr>
        <w:t>CHW and VHT links for outreach, referral, follow-up, and community data collection.</w:t>
      </w:r>
    </w:p>
    <w:p>
      <w:pPr>
        <w:pStyle w:val="ListBullet"/>
        <w:spacing w:after="40"/>
      </w:pPr>
      <w:r>
        <w:rPr>
          <w:rFonts w:ascii="Aptos" w:hAnsi="Aptos"/>
          <w:b w:val="0"/>
          <w:i w:val="0"/>
          <w:color w:val="1E2F38"/>
          <w:sz w:val="20"/>
        </w:rPr>
        <w:t>Internal application materials cite 40+ CHWs and VHTs collecting field data weekly (confirm the current number before using it in the portal).</w:t>
      </w:r>
    </w:p>
    <w:p>
      <w:pPr>
        <w:pStyle w:val="ListBullet"/>
        <w:spacing w:after="40"/>
      </w:pPr>
      <w:r>
        <w:rPr>
          <w:rFonts w:ascii="Aptos" w:hAnsi="Aptos"/>
          <w:b w:val="0"/>
          <w:i w:val="0"/>
          <w:color w:val="1E2F38"/>
          <w:sz w:val="20"/>
        </w:rPr>
        <w:t>Existing maternal and child health, Gericare, NCD screening, school, and corporate health work.</w:t>
      </w:r>
    </w:p>
    <w:p>
      <w:pPr>
        <w:pStyle w:val="ListBullet"/>
        <w:spacing w:after="40"/>
      </w:pPr>
      <w:r>
        <w:rPr>
          <w:rFonts w:ascii="Aptos" w:hAnsi="Aptos"/>
          <w:b w:val="0"/>
          <w:i w:val="0"/>
          <w:color w:val="1E2F38"/>
          <w:sz w:val="20"/>
        </w:rPr>
        <w:t>Digital health records and pharmacy workflows that inform product integration.</w:t>
      </w:r>
    </w:p>
    <w:p>
      <w:pPr>
        <w:pStyle w:val="ListBullet"/>
        <w:spacing w:after="40"/>
      </w:pPr>
      <w:r>
        <w:rPr>
          <w:rFonts w:ascii="Aptos" w:hAnsi="Aptos"/>
          <w:b w:val="0"/>
          <w:i w:val="0"/>
          <w:color w:val="1E2F38"/>
          <w:sz w:val="20"/>
        </w:rPr>
        <w:t>Secure EMR/HMS data APIs so existing facility systems can feed clinical data into FCHIP in real time without replacement.</w:t>
      </w:r>
    </w:p>
    <w:p>
      <w:pPr>
        <w:pStyle w:val="ListBullet"/>
        <w:spacing w:after="40"/>
      </w:pPr>
      <w:r>
        <w:rPr>
          <w:rFonts w:ascii="Aptos" w:hAnsi="Aptos"/>
          <w:b w:val="0"/>
          <w:i w:val="0"/>
          <w:color w:val="1E2F38"/>
          <w:sz w:val="20"/>
        </w:rPr>
        <w:t>Working FCHIP MVP (applicant-confirmed) ready for structured validation inside the live FairBanks cascade.</w:t>
      </w:r>
    </w:p>
    <w:p>
      <w:pPr>
        <w:spacing w:after="100"/>
      </w:pPr>
      <w:r>
        <w:rPr>
          <w:rFonts w:ascii="Aptos" w:hAnsi="Aptos"/>
          <w:b/>
          <w:i w:val="0"/>
          <w:color w:val="A3312D"/>
          <w:sz w:val="20"/>
        </w:rPr>
        <w:t>These points prove delivery access and validation readiness. They do not by themselves prove FCHIP product traction, paying customers, or model performance. Those claims must be supported separately.</w:t>
      </w:r>
    </w:p>
    <w:p>
      <w:pPr>
        <w:pStyle w:val="Heading1"/>
        <w:spacing w:before="160" w:after="100"/>
      </w:pPr>
      <w:r>
        <w:t>7. Six-month milestone plan</w:t>
      </w:r>
    </w:p>
    <w:p>
      <w:pPr>
        <w:spacing w:after="100"/>
      </w:pPr>
      <w:r>
        <w:rPr>
          <w:rFonts w:ascii="Aptos" w:hAnsi="Aptos"/>
          <w:b/>
          <w:i w:val="0"/>
          <w:color w:val="1E2F38"/>
          <w:sz w:val="20"/>
        </w:rPr>
        <w:t>Recommended portal milestone: Validate product-market fit, provided a working MVP already exists.</w:t>
      </w:r>
    </w:p>
    <w:tbl>
      <w:tblPr>
        <w:tblW w:type="auto" w:w="0"/>
        <w:jc w:val="center"/>
        <w:tblLayout w:type="fixed"/>
        <w:tblLook w:firstColumn="1" w:firstRow="1" w:lastColumn="0" w:lastRow="0" w:noHBand="0" w:noVBand="1" w:val="04A0"/>
      </w:tblPr>
      <w:tblGrid>
        <w:gridCol w:w="4917"/>
        <w:gridCol w:w="4917"/>
      </w:tblGrid>
      <w:tr>
        <w:tc>
          <w:tcPr>
            <w:tcW w:type="dxa" w:w="1800"/>
            <w:shd w:fill="0A1F2E"/>
            <w:tcMar>
              <w:top w:w="80" w:type="dxa"/>
              <w:start w:w="120" w:type="dxa"/>
              <w:bottom w:w="80" w:type="dxa"/>
              <w:end w:w="120" w:type="dxa"/>
            </w:tcMar>
            <w:vAlign w:val="center"/>
          </w:tcPr>
          <w:p>
            <w:r/>
            <w:r>
              <w:rPr>
                <w:rFonts w:ascii="Aptos" w:hAnsi="Aptos"/>
                <w:b/>
                <w:i w:val="0"/>
                <w:color w:val="FFFFFF"/>
                <w:sz w:val="18"/>
              </w:rPr>
              <w:t>Timing</w:t>
            </w:r>
          </w:p>
        </w:tc>
        <w:tc>
          <w:tcPr>
            <w:tcW w:type="dxa" w:w="7704"/>
            <w:shd w:fill="0A1F2E"/>
            <w:tcMar>
              <w:top w:w="80" w:type="dxa"/>
              <w:start w:w="120" w:type="dxa"/>
              <w:bottom w:w="80" w:type="dxa"/>
              <w:end w:w="120" w:type="dxa"/>
            </w:tcMar>
            <w:vAlign w:val="center"/>
          </w:tcPr>
          <w:p>
            <w:r/>
            <w:r>
              <w:rPr>
                <w:rFonts w:ascii="Aptos" w:hAnsi="Aptos"/>
                <w:b/>
                <w:i w:val="0"/>
                <w:color w:val="FFFFFF"/>
                <w:sz w:val="18"/>
              </w:rPr>
              <w:t>Milestone</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1</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Lock users, workflows, governance, demo evidence, and baseline indicators.</w:t>
            </w:r>
          </w:p>
        </w:tc>
      </w:tr>
      <w:tr>
        <w:tc>
          <w:tcPr>
            <w:tcW w:type="dxa" w:w="1800"/>
            <w:tcMar>
              <w:top w:w="100" w:type="dxa"/>
              <w:start w:w="120" w:type="dxa"/>
              <w:bottom w:w="100" w:type="dxa"/>
              <w:end w:w="120" w:type="dxa"/>
            </w:tcMar>
            <w:vAlign w:val="top"/>
          </w:tcPr>
          <w:p>
            <w:r/>
            <w:r>
              <w:rPr>
                <w:rFonts w:ascii="Aptos" w:hAnsi="Aptos"/>
                <w:b/>
                <w:i w:val="0"/>
                <w:color w:val="1E2F38"/>
                <w:sz w:val="18"/>
              </w:rPr>
              <w:t>Months 2-3</w:t>
            </w:r>
          </w:p>
        </w:tc>
        <w:tc>
          <w:tcPr>
            <w:tcW w:type="dxa" w:w="7704"/>
            <w:tcMar>
              <w:top w:w="100" w:type="dxa"/>
              <w:start w:w="120" w:type="dxa"/>
              <w:bottom w:w="100" w:type="dxa"/>
              <w:end w:w="120" w:type="dxa"/>
            </w:tcMar>
            <w:vAlign w:val="top"/>
          </w:tcPr>
          <w:p>
            <w:r/>
            <w:r>
              <w:rPr>
                <w:rFonts w:ascii="Aptos" w:hAnsi="Aptos"/>
                <w:b w:val="0"/>
                <w:i w:val="0"/>
                <w:color w:val="1E2F38"/>
                <w:sz w:val="18"/>
              </w:rPr>
              <w:t>Run CHW/facility usability testing; improve offline capture and dashboards.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Months 3-4</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Validate maternal, NCD, and surveillance workflows in FairBanks catchment.</w:t>
            </w:r>
          </w:p>
        </w:tc>
      </w:tr>
      <w:tr>
        <w:tc>
          <w:tcPr>
            <w:tcW w:type="dxa" w:w="1800"/>
            <w:tcMar>
              <w:top w:w="100" w:type="dxa"/>
              <w:start w:w="120" w:type="dxa"/>
              <w:bottom w:w="100" w:type="dxa"/>
              <w:end w:w="120" w:type="dxa"/>
            </w:tcMar>
            <w:vAlign w:val="top"/>
          </w:tcPr>
          <w:p>
            <w:r/>
            <w:r>
              <w:rPr>
                <w:rFonts w:ascii="Aptos" w:hAnsi="Aptos"/>
                <w:b/>
                <w:i w:val="0"/>
                <w:color w:val="1E2F38"/>
                <w:sz w:val="18"/>
              </w:rPr>
              <w:t>Months 4-5</w:t>
            </w:r>
          </w:p>
        </w:tc>
        <w:tc>
          <w:tcPr>
            <w:tcW w:type="dxa" w:w="7704"/>
            <w:tcMar>
              <w:top w:w="100" w:type="dxa"/>
              <w:start w:w="120" w:type="dxa"/>
              <w:bottom w:w="100" w:type="dxa"/>
              <w:end w:w="120" w:type="dxa"/>
            </w:tcMar>
            <w:vAlign w:val="top"/>
          </w:tcPr>
          <w:p>
            <w:r/>
            <w:r>
              <w:rPr>
                <w:rFonts w:ascii="Aptos" w:hAnsi="Aptos"/>
                <w:b w:val="0"/>
                <w:i w:val="0"/>
                <w:color w:val="1E2F38"/>
                <w:sz w:val="18"/>
              </w:rPr>
              <w:t>Test willingness to pay and partnership model with clinics, NGOs, and districts.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6</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Publish pilot evidence, investor data room, partnership pipeline, and scale plan.</w:t>
            </w:r>
          </w:p>
        </w:tc>
      </w:tr>
    </w:tbl>
    <w:p>
      <w:pPr>
        <w:spacing w:after="20"/>
      </w:pPr>
    </w:p>
    <w:p>
      <w:pPr>
        <w:pStyle w:val="Heading2"/>
        <w:spacing w:before="160" w:after="100"/>
      </w:pPr>
      <w:r>
        <w:t>7.1 Suggested pilot indicators</w:t>
      </w:r>
    </w:p>
    <w:p>
      <w:pPr>
        <w:pStyle w:val="ListBullet"/>
        <w:spacing w:after="40"/>
      </w:pPr>
      <w:r>
        <w:rPr>
          <w:rFonts w:ascii="Aptos" w:hAnsi="Aptos"/>
          <w:b w:val="0"/>
          <w:i w:val="0"/>
          <w:color w:val="1E2F38"/>
          <w:sz w:val="20"/>
        </w:rPr>
        <w:t>CHW/VHT weekly active use and form-completion rate.</w:t>
      </w:r>
    </w:p>
    <w:p>
      <w:pPr>
        <w:pStyle w:val="ListBullet"/>
        <w:spacing w:after="40"/>
      </w:pPr>
      <w:r>
        <w:rPr>
          <w:rFonts w:ascii="Aptos" w:hAnsi="Aptos"/>
          <w:b w:val="0"/>
          <w:i w:val="0"/>
          <w:color w:val="1E2F38"/>
          <w:sz w:val="20"/>
        </w:rPr>
        <w:t>Referral completion and time from risk flag to clinical review.</w:t>
      </w:r>
    </w:p>
    <w:p>
      <w:pPr>
        <w:pStyle w:val="ListBullet"/>
        <w:spacing w:after="40"/>
      </w:pPr>
      <w:r>
        <w:rPr>
          <w:rFonts w:ascii="Aptos" w:hAnsi="Aptos"/>
          <w:b w:val="0"/>
          <w:i w:val="0"/>
          <w:color w:val="1E2F38"/>
          <w:sz w:val="20"/>
        </w:rPr>
        <w:t>Maternal, NCD, and surveillance alerts reviewed and acted upon.</w:t>
      </w:r>
    </w:p>
    <w:p>
      <w:pPr>
        <w:pStyle w:val="ListBullet"/>
        <w:spacing w:after="40"/>
      </w:pPr>
      <w:r>
        <w:rPr>
          <w:rFonts w:ascii="Aptos" w:hAnsi="Aptos"/>
          <w:b w:val="0"/>
          <w:i w:val="0"/>
          <w:color w:val="1E2F38"/>
          <w:sz w:val="20"/>
        </w:rPr>
        <w:t>Data completeness, duplicate rate, and correction time.</w:t>
      </w:r>
    </w:p>
    <w:p>
      <w:pPr>
        <w:pStyle w:val="ListBullet"/>
        <w:spacing w:after="40"/>
      </w:pPr>
      <w:r>
        <w:rPr>
          <w:rFonts w:ascii="Aptos" w:hAnsi="Aptos"/>
          <w:b w:val="0"/>
          <w:i w:val="0"/>
          <w:color w:val="1E2F38"/>
          <w:sz w:val="20"/>
        </w:rPr>
        <w:t>Facility/partner willingness to pay and signed pilot commitments.</w:t>
      </w:r>
    </w:p>
    <w:p>
      <w:pPr>
        <w:pStyle w:val="Heading1"/>
        <w:spacing w:before="160" w:after="100"/>
      </w:pPr>
      <w:r>
        <w:t>8. Accelerator support requested</w:t>
      </w:r>
    </w:p>
    <w:tbl>
      <w:tblPr>
        <w:tblW w:type="auto" w:w="0"/>
        <w:jc w:val="center"/>
        <w:tblLayout w:type="fixed"/>
        <w:tblLook w:firstColumn="1" w:firstRow="1" w:lastColumn="0" w:lastRow="0" w:noHBand="0" w:noVBand="1" w:val="04A0"/>
      </w:tblPr>
      <w:tblGrid>
        <w:gridCol w:w="4917"/>
        <w:gridCol w:w="4917"/>
      </w:tblGrid>
      <w:tr>
        <w:tc>
          <w:tcPr>
            <w:tcW w:type="dxa" w:w="3312"/>
            <w:shd w:fill="0A1F2E"/>
            <w:tcMar>
              <w:top w:w="80" w:type="dxa"/>
              <w:start w:w="120" w:type="dxa"/>
              <w:bottom w:w="80" w:type="dxa"/>
              <w:end w:w="120" w:type="dxa"/>
            </w:tcMar>
            <w:vAlign w:val="center"/>
          </w:tcPr>
          <w:p>
            <w:r/>
            <w:r>
              <w:rPr>
                <w:rFonts w:ascii="Aptos" w:hAnsi="Aptos"/>
                <w:b/>
                <w:i w:val="0"/>
                <w:color w:val="FFFFFF"/>
                <w:sz w:val="18"/>
              </w:rPr>
              <w:t>Priority</w:t>
            </w:r>
          </w:p>
        </w:tc>
        <w:tc>
          <w:tcPr>
            <w:tcW w:type="dxa" w:w="6192"/>
            <w:shd w:fill="0A1F2E"/>
            <w:tcMar>
              <w:top w:w="80" w:type="dxa"/>
              <w:start w:w="120" w:type="dxa"/>
              <w:bottom w:w="80" w:type="dxa"/>
              <w:end w:w="120" w:type="dxa"/>
            </w:tcMar>
            <w:vAlign w:val="center"/>
          </w:tcPr>
          <w:p>
            <w:r/>
            <w:r>
              <w:rPr>
                <w:rFonts w:ascii="Aptos" w:hAnsi="Aptos"/>
                <w:b/>
                <w:i w:val="0"/>
                <w:color w:val="FFFFFF"/>
                <w:sz w:val="18"/>
              </w:rPr>
              <w:t>Why it matters now</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Validation &amp; Market Research</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Prove user need, buying pathway, and measurable outcomes.</w:t>
            </w:r>
          </w:p>
        </w:tc>
      </w:tr>
      <w:tr>
        <w:tc>
          <w:tcPr>
            <w:tcW w:type="dxa" w:w="3312"/>
            <w:tcMar>
              <w:top w:w="100" w:type="dxa"/>
              <w:start w:w="120" w:type="dxa"/>
              <w:bottom w:w="100" w:type="dxa"/>
              <w:end w:w="120" w:type="dxa"/>
            </w:tcMar>
            <w:vAlign w:val="top"/>
          </w:tcPr>
          <w:p>
            <w:r/>
            <w:r>
              <w:rPr>
                <w:rFonts w:ascii="Aptos" w:hAnsi="Aptos"/>
                <w:b/>
                <w:i w:val="0"/>
                <w:color w:val="1E2F38"/>
                <w:sz w:val="18"/>
              </w:rPr>
              <w:t>Product Development</w:t>
            </w:r>
          </w:p>
        </w:tc>
        <w:tc>
          <w:tcPr>
            <w:tcW w:type="dxa" w:w="6192"/>
            <w:tcMar>
              <w:top w:w="100" w:type="dxa"/>
              <w:start w:w="120" w:type="dxa"/>
              <w:bottom w:w="100" w:type="dxa"/>
              <w:end w:w="120" w:type="dxa"/>
            </w:tcMar>
            <w:vAlign w:val="top"/>
          </w:tcPr>
          <w:p>
            <w:r/>
            <w:r>
              <w:rPr>
                <w:rFonts w:ascii="Aptos" w:hAnsi="Aptos"/>
                <w:b w:val="0"/>
                <w:i w:val="0"/>
                <w:color w:val="1E2F38"/>
                <w:sz w:val="18"/>
              </w:rPr>
              <w:t>Improve offline UX, workflow fit, dashboards, and secure EMR/HMS APIs.</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Partnerships &amp; Ecosystem Access</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Secure clinics, districts, programmes, and scale partners.</w:t>
            </w:r>
          </w:p>
        </w:tc>
      </w:tr>
    </w:tbl>
    <w:p>
      <w:pPr>
        <w:spacing w:after="20"/>
      </w:pPr>
    </w:p>
    <w:p>
      <w:pPr>
        <w:spacing w:after="100"/>
      </w:pPr>
      <w:r>
        <w:rPr>
          <w:rFonts w:ascii="Aptos" w:hAnsi="Aptos"/>
          <w:b w:val="0"/>
          <w:i w:val="0"/>
          <w:color w:val="1E2F38"/>
          <w:sz w:val="20"/>
        </w:rPr>
        <w:t>The accelerator directly matches FCHIP's next milestone: validate an Africa-built digital health MVP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p>
      <w:pPr>
        <w:pStyle w:val="Heading1"/>
        <w:spacing w:before="160" w:after="100"/>
      </w:pPr>
      <w:r>
        <w:t>9. Risk and governance</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Risk</w:t>
            </w:r>
          </w:p>
        </w:tc>
        <w:tc>
          <w:tcPr>
            <w:tcW w:type="dxa" w:w="6912"/>
            <w:shd w:fill="0A1F2E"/>
            <w:tcMar>
              <w:top w:w="80" w:type="dxa"/>
              <w:start w:w="120" w:type="dxa"/>
              <w:bottom w:w="80" w:type="dxa"/>
              <w:end w:w="120" w:type="dxa"/>
            </w:tcMar>
            <w:vAlign w:val="center"/>
          </w:tcPr>
          <w:p>
            <w:r/>
            <w:r>
              <w:rPr>
                <w:rFonts w:ascii="Aptos" w:hAnsi="Aptos"/>
                <w:b/>
                <w:i w:val="0"/>
                <w:color w:val="FFFFFF"/>
                <w:sz w:val="18"/>
              </w:rPr>
              <w:t>Mitigation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Eligibility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Confirm two founders before submission; MVP is already confirmed.</w:t>
            </w:r>
          </w:p>
        </w:tc>
      </w:tr>
      <w:tr>
        <w:tc>
          <w:tcPr>
            <w:tcW w:type="dxa" w:w="2592"/>
            <w:tcMar>
              <w:top w:w="70" w:type="dxa"/>
              <w:start w:w="120" w:type="dxa"/>
              <w:bottom w:w="70" w:type="dxa"/>
              <w:end w:w="120" w:type="dxa"/>
            </w:tcMar>
            <w:vAlign w:val="top"/>
          </w:tcPr>
          <w:p>
            <w:r/>
            <w:r>
              <w:rPr>
                <w:rFonts w:ascii="Aptos" w:hAnsi="Aptos"/>
                <w:b/>
                <w:i w:val="0"/>
                <w:color w:val="1E2F38"/>
                <w:sz w:val="17"/>
              </w:rPr>
              <w:t>Data quality</w:t>
            </w:r>
          </w:p>
        </w:tc>
        <w:tc>
          <w:tcPr>
            <w:tcW w:type="dxa" w:w="6912"/>
            <w:tcMar>
              <w:top w:w="70" w:type="dxa"/>
              <w:start w:w="120" w:type="dxa"/>
              <w:bottom w:w="70" w:type="dxa"/>
              <w:end w:w="120" w:type="dxa"/>
            </w:tcMar>
            <w:vAlign w:val="top"/>
          </w:tcPr>
          <w:p>
            <w:r/>
            <w:r>
              <w:rPr>
                <w:rFonts w:ascii="Aptos" w:hAnsi="Aptos"/>
                <w:b w:val="0"/>
                <w:i w:val="0"/>
                <w:color w:val="1E2F38"/>
                <w:sz w:val="17"/>
              </w:rPr>
              <w:t>Use simple forms, validation rules, supervision, and data-quality dashboards.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Privacy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Consent, minimisation, role-based access, audit logs, and Uganda compliance; EMR/HMS APIs use authentication and least-privilege scopes.</w:t>
            </w:r>
          </w:p>
        </w:tc>
      </w:tr>
      <w:tr>
        <w:tc>
          <w:tcPr>
            <w:tcW w:type="dxa" w:w="2592"/>
            <w:tcMar>
              <w:top w:w="70" w:type="dxa"/>
              <w:start w:w="120" w:type="dxa"/>
              <w:bottom w:w="70" w:type="dxa"/>
              <w:end w:w="120" w:type="dxa"/>
            </w:tcMar>
            <w:vAlign w:val="top"/>
          </w:tcPr>
          <w:p>
            <w:r/>
            <w:r>
              <w:rPr>
                <w:rFonts w:ascii="Aptos" w:hAnsi="Aptos"/>
                <w:b/>
                <w:i w:val="0"/>
                <w:color w:val="1E2F38"/>
                <w:sz w:val="17"/>
              </w:rPr>
              <w:t>EMR/HMS friction</w:t>
            </w:r>
          </w:p>
        </w:tc>
        <w:tc>
          <w:tcPr>
            <w:tcW w:type="dxa" w:w="6912"/>
            <w:tcMar>
              <w:top w:w="70" w:type="dxa"/>
              <w:start w:w="120" w:type="dxa"/>
              <w:bottom w:w="70" w:type="dxa"/>
              <w:end w:w="120" w:type="dxa"/>
            </w:tcMar>
            <w:vAlign w:val="top"/>
          </w:tcPr>
          <w:p>
            <w:r/>
            <w:r>
              <w:rPr>
                <w:rFonts w:ascii="Aptos" w:hAnsi="Aptos"/>
                <w:b w:val="0"/>
                <w:i w:val="0"/>
                <w:color w:val="1E2F38"/>
                <w:sz w:val="17"/>
              </w:rPr>
              <w:t>Expose stable documented APIs; start with FairBanks systems; do not require replacing existing EMR/HMS.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AI accuracy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Begin with interpretable rules and clinician review; validate before automation.</w:t>
            </w:r>
          </w:p>
        </w:tc>
      </w:tr>
      <w:tr>
        <w:tc>
          <w:tcPr>
            <w:tcW w:type="dxa" w:w="2592"/>
            <w:tcMar>
              <w:top w:w="70" w:type="dxa"/>
              <w:start w:w="120" w:type="dxa"/>
              <w:bottom w:w="70" w:type="dxa"/>
              <w:end w:w="120" w:type="dxa"/>
            </w:tcMar>
            <w:vAlign w:val="top"/>
          </w:tcPr>
          <w:p>
            <w:r/>
            <w:r>
              <w:rPr>
                <w:rFonts w:ascii="Aptos" w:hAnsi="Aptos"/>
                <w:b/>
                <w:i w:val="0"/>
                <w:color w:val="1E2F38"/>
                <w:sz w:val="17"/>
              </w:rPr>
              <w:t>Adoption</w:t>
            </w:r>
          </w:p>
        </w:tc>
        <w:tc>
          <w:tcPr>
            <w:tcW w:type="dxa" w:w="6912"/>
            <w:tcMar>
              <w:top w:w="70" w:type="dxa"/>
              <w:start w:w="120" w:type="dxa"/>
              <w:bottom w:w="70" w:type="dxa"/>
              <w:end w:w="120" w:type="dxa"/>
            </w:tcMar>
            <w:vAlign w:val="top"/>
          </w:tcPr>
          <w:p>
            <w:r/>
            <w:r>
              <w:rPr>
                <w:rFonts w:ascii="Aptos" w:hAnsi="Aptos"/>
                <w:b w:val="0"/>
                <w:i w:val="0"/>
                <w:color w:val="1E2F38"/>
                <w:sz w:val="17"/>
              </w:rPr>
              <w:t>Co-design with CHWs, facilities, districts, and programme partners.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Commercial proof</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Test willingness to pay and buying pathways during the pilot.</w:t>
            </w:r>
          </w:p>
        </w:tc>
      </w:tr>
    </w:tbl>
    <w:p>
      <w:pPr>
        <w:spacing w:after="20"/>
      </w:pPr>
    </w:p>
    <w:p>
      <w:r>
        <w:br w:type="page"/>
      </w:r>
    </w:p>
    <w:p>
      <w:pPr>
        <w:pStyle w:val="Heading1"/>
        <w:spacing w:before="160" w:after="100"/>
      </w:pPr>
      <w:r>
        <w:t>10. Submission checklist</w:t>
      </w:r>
    </w:p>
    <w:p>
      <w:pPr>
        <w:spacing w:after="80"/>
      </w:pPr>
      <w:r>
        <w:rPr>
          <w:rFonts w:ascii="Aptos" w:hAnsi="Aptos"/>
          <w:b w:val="0"/>
          <w:i w:val="0"/>
          <w:color w:val="1E2F38"/>
          <w:sz w:val="20"/>
        </w:rPr>
        <w:t>[  ]  Recheck the live deadline and portal availability.</w:t>
      </w:r>
    </w:p>
    <w:p>
      <w:pPr>
        <w:spacing w:after="80"/>
      </w:pPr>
      <w:r>
        <w:rPr>
          <w:rFonts w:ascii="Aptos" w:hAnsi="Aptos"/>
          <w:b w:val="0"/>
          <w:i w:val="0"/>
          <w:color w:val="1E2F38"/>
          <w:sz w:val="20"/>
        </w:rPr>
        <w:t>[  ]  Verify the legal/startup name used in the form.</w:t>
      </w:r>
    </w:p>
    <w:p>
      <w:pPr>
        <w:spacing w:after="80"/>
      </w:pPr>
      <w:r>
        <w:rPr>
          <w:rFonts w:ascii="Aptos" w:hAnsi="Aptos"/>
          <w:b w:val="0"/>
          <w:i w:val="0"/>
          <w:color w:val="1E2F38"/>
          <w:sz w:val="20"/>
        </w:rPr>
        <w:t>[  ]  Complete founder identity, contacts, gender, LinkedIn, and website.</w:t>
      </w:r>
    </w:p>
    <w:p>
      <w:pPr>
        <w:spacing w:after="80"/>
      </w:pPr>
      <w:r>
        <w:rPr>
          <w:rFonts w:ascii="Aptos" w:hAnsi="Aptos"/>
          <w:b w:val="0"/>
          <w:i w:val="0"/>
          <w:color w:val="1E2F38"/>
          <w:sz w:val="20"/>
        </w:rPr>
        <w:t>[  ]  List at least one co-founder and verify total founders is two or more.</w:t>
      </w:r>
    </w:p>
    <w:p>
      <w:pPr>
        <w:spacing w:after="80"/>
      </w:pPr>
      <w:r>
        <w:rPr>
          <w:rFonts w:ascii="Aptos" w:hAnsi="Aptos"/>
          <w:b w:val="0"/>
          <w:i w:val="0"/>
          <w:color w:val="1E2F38"/>
          <w:sz w:val="20"/>
        </w:rPr>
        <w:t>[  ]  Select Startup Stage = MVP; keep a short demo or screenshots ready.</w:t>
      </w:r>
    </w:p>
    <w:p>
      <w:pPr>
        <w:spacing w:after="80"/>
      </w:pPr>
      <w:r>
        <w:rPr>
          <w:rFonts w:ascii="Aptos" w:hAnsi="Aptos"/>
          <w:b w:val="0"/>
          <w:i w:val="0"/>
          <w:color w:val="1E2F38"/>
          <w:sz w:val="20"/>
        </w:rPr>
        <w:t>[  ]  Choose only innovation areas included in the current product.</w:t>
      </w:r>
    </w:p>
    <w:p>
      <w:pPr>
        <w:spacing w:after="80"/>
      </w:pPr>
      <w:r>
        <w:rPr>
          <w:rFonts w:ascii="Aptos" w:hAnsi="Aptos"/>
          <w:b w:val="0"/>
          <w:i w:val="0"/>
          <w:color w:val="1E2F38"/>
          <w:sz w:val="20"/>
        </w:rPr>
        <w:t>[  ]  Enter exact revenue, customer, fundraising, and funding figures.</w:t>
      </w:r>
    </w:p>
    <w:p>
      <w:pPr>
        <w:spacing w:after="80"/>
      </w:pPr>
      <w:r>
        <w:rPr>
          <w:rFonts w:ascii="Aptos" w:hAnsi="Aptos"/>
          <w:b w:val="0"/>
          <w:i w:val="0"/>
          <w:color w:val="1E2F38"/>
          <w:sz w:val="20"/>
        </w:rPr>
        <w:t>[  ]  Name only confirmed current partners.</w:t>
      </w:r>
    </w:p>
    <w:p>
      <w:pPr>
        <w:spacing w:after="80"/>
      </w:pPr>
      <w:r>
        <w:rPr>
          <w:rFonts w:ascii="Aptos" w:hAnsi="Aptos"/>
          <w:b w:val="0"/>
          <w:i w:val="0"/>
          <w:color w:val="1E2F38"/>
          <w:sz w:val="20"/>
        </w:rPr>
        <w:t>[  ]  Confirm 80% session attendance and in-person milestone availability.</w:t>
      </w:r>
    </w:p>
    <w:p>
      <w:pPr>
        <w:spacing w:after="80"/>
      </w:pPr>
      <w:r>
        <w:rPr>
          <w:rFonts w:ascii="Aptos" w:hAnsi="Aptos"/>
          <w:b w:val="0"/>
          <w:i w:val="0"/>
          <w:color w:val="1E2F38"/>
          <w:sz w:val="20"/>
        </w:rPr>
        <w:t>[  ]  Upload PPT + pitch PDF to Google Drive; enable public link; test signed out.</w:t>
      </w:r>
    </w:p>
    <w:p>
      <w:pPr>
        <w:spacing w:after="80"/>
      </w:pPr>
      <w:r>
        <w:rPr>
          <w:rFonts w:ascii="Aptos" w:hAnsi="Aptos"/>
          <w:b w:val="0"/>
          <w:i w:val="0"/>
          <w:color w:val="1E2F38"/>
          <w:sz w:val="20"/>
        </w:rPr>
        <w:t>[  ]  Paste the Drive share URL into Pitch Deck (upload link).</w:t>
      </w:r>
    </w:p>
    <w:p>
      <w:pPr>
        <w:spacing w:after="80"/>
      </w:pPr>
      <w:r>
        <w:rPr>
          <w:rFonts w:ascii="Aptos" w:hAnsi="Aptos"/>
          <w:b w:val="0"/>
          <w:i w:val="0"/>
          <w:color w:val="1E2F38"/>
          <w:sz w:val="20"/>
        </w:rPr>
        <w:t>[  ]  Proofread all answers against this pack and the official portal.</w:t>
      </w:r>
    </w:p>
    <w:p>
      <w:pPr>
        <w:spacing w:after="80"/>
      </w:pPr>
      <w:r>
        <w:rPr>
          <w:rFonts w:ascii="Aptos" w:hAnsi="Aptos"/>
          <w:b w:val="0"/>
          <w:i w:val="0"/>
          <w:color w:val="1E2F38"/>
          <w:sz w:val="20"/>
        </w:rPr>
        <w:t>[  ]  Submit before the deadline and save the confirmation.</w:t>
      </w:r>
    </w:p>
    <w:p>
      <w:pPr>
        <w:pStyle w:val="Heading1"/>
        <w:spacing w:before="160" w:after="100"/>
      </w:pPr>
      <w:r>
        <w:t>11. Official sources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Source</w:t>
            </w:r>
          </w:p>
        </w:tc>
        <w:tc>
          <w:tcPr>
            <w:tcW w:type="dxa" w:w="6480"/>
            <w:shd w:fill="0A1F2E"/>
            <w:tcMar>
              <w:top w:w="80" w:type="dxa"/>
              <w:start w:w="120" w:type="dxa"/>
              <w:bottom w:w="80" w:type="dxa"/>
              <w:end w:w="120" w:type="dxa"/>
            </w:tcMar>
            <w:vAlign w:val="center"/>
          </w:tcPr>
          <w:p>
            <w:r/>
            <w:r>
              <w:rPr>
                <w:rFonts w:ascii="Aptos" w:hAnsi="Aptos"/>
                <w:b/>
                <w:i w:val="0"/>
                <w:color w:val="FFFFFF"/>
                <w:sz w:val="18"/>
              </w:rPr>
              <w:t>URL</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Programme home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w:t>
            </w:r>
          </w:p>
        </w:tc>
      </w:tr>
      <w:tr>
        <w:tc>
          <w:tcPr>
            <w:tcW w:type="dxa" w:w="3024"/>
            <w:tcMar>
              <w:top w:w="70" w:type="dxa"/>
              <w:start w:w="120" w:type="dxa"/>
              <w:bottom w:w="70" w:type="dxa"/>
              <w:end w:w="120" w:type="dxa"/>
            </w:tcMar>
            <w:vAlign w:val="top"/>
          </w:tcPr>
          <w:p>
            <w:r/>
            <w:r>
              <w:rPr>
                <w:rFonts w:ascii="Aptos" w:hAnsi="Aptos"/>
                <w:b/>
                <w:i w:val="0"/>
                <w:color w:val="1E2F38"/>
                <w:sz w:val="17"/>
              </w:rPr>
              <w:t>Application portal</w:t>
            </w:r>
          </w:p>
        </w:tc>
        <w:tc>
          <w:tcPr>
            <w:tcW w:type="dxa" w:w="6480"/>
            <w:tcMar>
              <w:top w:w="70" w:type="dxa"/>
              <w:start w:w="120" w:type="dxa"/>
              <w:bottom w:w="70" w:type="dxa"/>
              <w:end w:w="120" w:type="dxa"/>
            </w:tcMar>
            <w:vAlign w:val="top"/>
          </w:tcPr>
          <w:p>
            <w:r/>
            <w:r>
              <w:rPr>
                <w:rFonts w:ascii="Aptos" w:hAnsi="Aptos"/>
                <w:b w:val="0"/>
                <w:i w:val="0"/>
                <w:color w:val="1E2F38"/>
                <w:sz w:val="17"/>
              </w:rPr>
              <w:t>https://accelerator.africahealthexcon.com/apply</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Official programme article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https://accelerator.africahealthexcon.com/publications</w:t>
            </w:r>
          </w:p>
        </w:tc>
      </w:tr>
      <w:tr>
        <w:tc>
          <w:tcPr>
            <w:tcW w:type="dxa" w:w="3024"/>
            <w:tcMar>
              <w:top w:w="70" w:type="dxa"/>
              <w:start w:w="120" w:type="dxa"/>
              <w:bottom w:w="70" w:type="dxa"/>
              <w:end w:w="120" w:type="dxa"/>
            </w:tcMar>
            <w:vAlign w:val="top"/>
          </w:tcPr>
          <w:p>
            <w:r/>
            <w:r>
              <w:rPr>
                <w:rFonts w:ascii="Aptos" w:hAnsi="Aptos"/>
                <w:b/>
                <w:i w:val="0"/>
                <w:color w:val="1E2F38"/>
                <w:sz w:val="17"/>
              </w:rPr>
              <w:t>Official deadline-extension post</w:t>
            </w:r>
          </w:p>
        </w:tc>
        <w:tc>
          <w:tcPr>
            <w:tcW w:type="dxa" w:w="6480"/>
            <w:tcMar>
              <w:top w:w="70" w:type="dxa"/>
              <w:start w:w="120" w:type="dxa"/>
              <w:bottom w:w="70" w:type="dxa"/>
              <w:end w:w="120" w:type="dxa"/>
            </w:tcMar>
            <w:vAlign w:val="top"/>
          </w:tcPr>
          <w:p>
            <w:r/>
            <w:r>
              <w:rPr>
                <w:rFonts w:ascii="Aptos" w:hAnsi="Aptos"/>
                <w:b w:val="0"/>
                <w:i w:val="0"/>
                <w:color w:val="1E2F38"/>
                <w:sz w:val="17"/>
              </w:rPr>
              <w:t>https://www.linkedin.com/posts/africa-health-tech-accelerator_healthtechstartup-healthtech-digitalhealth-activity-7477401395688574976-TAof</w:t>
            </w:r>
          </w:p>
        </w:tc>
      </w:tr>
    </w:tbl>
    <w:p>
      <w:pPr>
        <w:spacing w:after="20"/>
      </w:pPr>
    </w:p>
    <w:p>
      <w:pPr>
        <w:spacing w:after="100"/>
      </w:pPr>
      <w:r>
        <w:rPr>
          <w:rFonts w:ascii="Aptos" w:hAnsi="Aptos"/>
          <w:b w:val="0"/>
          <w:i/>
          <w:color w:val="52636C"/>
          <w:sz w:val="18"/>
        </w:rPr>
        <w:t>Source check date: 20 July 2026. The official portal wins if any detail changes.</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2636C"/>
        <w:sz w:val="16"/>
      </w:rPr>
      <w:t xml:space="preserve">Your health, our mission.  |  Application working pack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val="0"/>
        <w:i w:val="0"/>
        <w:color w:val="52636C"/>
        <w:sz w:val="16"/>
      </w:rPr>
      <w:t>FCHIP | Africa Health-Tech Accelerator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F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1F2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D6E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C45C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A1F2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