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93" w:lineRule="auto"/>
        <w:jc w:val="center"/>
      </w:pPr>
      <w:r>
        <w:rPr>
          <w:rFonts w:ascii="Calibri" w:hAnsi="Calibri" w:eastAsia="Calibri"/>
          <w:b/>
          <w:i w:val="0"/>
          <w:color w:val="0D6E6E"/>
          <w:sz w:val="24"/>
        </w:rPr>
        <w:t>AUC Venture Lab Women Innovation Fellowship 2026</w:t>
      </w:r>
    </w:p>
    <w:p>
      <w:pPr>
        <w:spacing w:after="80" w:line="293" w:lineRule="auto"/>
        <w:jc w:val="center"/>
      </w:pPr>
      <w:r>
        <w:rPr>
          <w:rFonts w:ascii="Calibri" w:hAnsi="Calibri" w:eastAsia="Calibri"/>
          <w:b/>
          <w:i w:val="0"/>
          <w:color w:val="0A1F2E"/>
          <w:sz w:val="44"/>
        </w:rPr>
        <w:t>Fellowship Application — Women-Led HealthTech Leadership</w:t>
      </w:r>
    </w:p>
    <w:p>
      <w:pPr>
        <w:spacing w:after="80" w:line="293" w:lineRule="auto"/>
        <w:jc w:val="center"/>
      </w:pPr>
      <w:r>
        <w:rPr>
          <w:rFonts w:ascii="Calibri" w:hAnsi="Calibri" w:eastAsia="Calibri"/>
          <w:b/>
          <w:i/>
          <w:color w:val="C45C26"/>
          <w:sz w:val="26"/>
        </w:rPr>
        <w:t>FairBanks Community Health Intelligence Platform (FCHIP)</w:t>
      </w:r>
    </w:p>
    <w:p>
      <w:pPr>
        <w:spacing w:after="200" w:line="293" w:lineRule="auto"/>
        <w:jc w:val="center"/>
      </w:pPr>
      <w:r>
        <w:rPr>
          <w:rFonts w:ascii="Calibri" w:hAnsi="Calibri" w:eastAsia="Calibri"/>
          <w:b/>
          <w:i/>
          <w:color w:val="C45C26"/>
          <w:sz w:val="24"/>
        </w:rPr>
        <w:t>Your health, our mission.</w:t>
      </w:r>
    </w:p>
    <w:p>
      <w:pPr>
        <w:jc w:val="center"/>
      </w:pPr>
      <w:r>
        <w:drawing>
          <wp:inline xmlns:a="http://schemas.openxmlformats.org/drawingml/2006/main" xmlns:pic="http://schemas.openxmlformats.org/drawingml/2006/picture">
            <wp:extent cx="5530551" cy="3108960"/>
            <wp:docPr id="1" name="Picture 1"/>
            <wp:cNvGraphicFramePr>
              <a:graphicFrameLocks noChangeAspect="1"/>
            </wp:cNvGraphicFramePr>
            <a:graphic>
              <a:graphicData uri="http://schemas.openxmlformats.org/drawingml/2006/picture">
                <pic:pic>
                  <pic:nvPicPr>
                    <pic:cNvPr id="0" name="cover_hero_cinematic_opt.jpg"/>
                    <pic:cNvPicPr/>
                  </pic:nvPicPr>
                  <pic:blipFill>
                    <a:blip r:embed="rId9"/>
                    <a:stretch>
                      <a:fillRect/>
                    </a:stretch>
                  </pic:blipFill>
                  <pic:spPr>
                    <a:xfrm>
                      <a:off x="0" y="0"/>
                      <a:ext cx="5530551" cy="3108960"/>
                    </a:xfrm>
                    <a:prstGeom prst="rect"/>
                  </pic:spPr>
                </pic:pic>
              </a:graphicData>
            </a:graphic>
          </wp:inline>
        </w:drawing>
      </w:r>
    </w:p>
    <w:p>
      <w:pPr>
        <w:spacing w:after="200" w:line="293" w:lineRule="auto"/>
        <w:jc w:val="center"/>
      </w:pPr>
      <w:r>
        <w:rPr>
          <w:rFonts w:ascii="Calibri" w:hAnsi="Calibri" w:eastAsia="Calibri"/>
          <w:b w:val="0"/>
          <w:i/>
          <w:color w:val="3A4A54"/>
          <w:sz w:val="18"/>
        </w:rPr>
        <w:t>Health for All — Obulamu eri Bonna · Afya kwa Wote · Oburamu bwa Boona</w:t>
      </w:r>
    </w:p>
    <w:p>
      <w:pPr>
        <w:spacing w:after="40" w:line="293" w:lineRule="auto"/>
        <w:jc w:val="center"/>
      </w:pPr>
      <w:r>
        <w:rPr>
          <w:rFonts w:ascii="Calibri" w:hAnsi="Calibri" w:eastAsia="Calibri"/>
          <w:b w:val="0"/>
          <w:i w:val="0"/>
          <w:color w:val="3A4A54"/>
          <w:sz w:val="20"/>
        </w:rPr>
        <w:t>Cairo, Egypt · 1 September – 31 October 2026</w:t>
      </w:r>
    </w:p>
    <w:p>
      <w:pPr>
        <w:spacing w:after="280" w:line="293" w:lineRule="auto"/>
        <w:jc w:val="center"/>
      </w:pPr>
      <w:r>
        <w:rPr>
          <w:rFonts w:ascii="Calibri" w:hAnsi="Calibri" w:eastAsia="Calibri"/>
          <w:b w:val="0"/>
          <w:i w:val="0"/>
          <w:color w:val="0D6E6E"/>
          <w:sz w:val="16"/>
        </w:rPr>
        <w:t>https://opportunitiesforyouth.org/2026/07/16/auc-venture-lab-women-innovation-fellowship-empowering-women-entrepreneurs-in-egypt-and-beyond/</w:t>
      </w:r>
    </w:p>
    <w:p>
      <w:r>
        <w:br w:type="page"/>
      </w:r>
    </w:p>
    <w:p>
      <w:pPr>
        <w:spacing w:before="280" w:after="120"/>
      </w:pPr>
      <w:r>
        <w:rPr>
          <w:rFonts w:ascii="Calibri" w:hAnsi="Calibri" w:eastAsia="Calibri"/>
          <w:b/>
          <w:i w:val="0"/>
          <w:color w:val="0A1F2E"/>
          <w:sz w:val="40"/>
        </w:rPr>
        <w:t>1. Why Cairo, why now</w:t>
      </w:r>
    </w:p>
    <w:p>
      <w:pPr>
        <w:spacing w:after="160" w:line="293" w:lineRule="auto"/>
        <w:jc w:val="left"/>
      </w:pPr>
      <w:r>
        <w:rPr>
          <w:rFonts w:ascii="Calibri" w:hAnsi="Calibri" w:eastAsia="Calibri"/>
          <w:b w:val="0"/>
          <w:i w:val="0"/>
          <w:color w:val="1E2F38"/>
          <w:sz w:val="22"/>
        </w:rPr>
        <w:t>FairBanks is not only a medical centre — it is a community health ecosystem with active outreach, Community Health Workers (CHWs), and a growing intelligence layer called FCHIP. I am applying to the AUC Venture Lab Women Innovation Fellowship because HealthTech that truly serves Africa needs leadership training, cross-regional networks, and investor-ready discipline — not just code.</w:t>
      </w:r>
    </w:p>
    <w:p>
      <w:pPr>
        <w:spacing w:after="160" w:line="293" w:lineRule="auto"/>
        <w:jc w:val="left"/>
      </w:pPr>
      <w:r>
        <w:rPr>
          <w:rFonts w:ascii="Calibri" w:hAnsi="Calibri" w:eastAsia="Calibri"/>
          <w:b w:val="0"/>
          <w:i w:val="0"/>
          <w:color w:val="1E2F38"/>
          <w:sz w:val="22"/>
        </w:rPr>
        <w:t>Cairo sits at a crossroads between North and East Africa. The fellowship’s global exposure (including engagement with leaders in Egypt and Denmark) matches my goal: learn from one of Africa’s top accelerators while bringing field-tested community health innovation from Uganda.</w:t>
      </w:r>
    </w:p>
    <w:p>
      <w:pPr>
        <w:spacing w:before="280" w:after="120"/>
      </w:pPr>
      <w:r>
        <w:rPr>
          <w:rFonts w:ascii="Calibri" w:hAnsi="Calibri" w:eastAsia="Calibri"/>
          <w:b/>
          <w:i w:val="0"/>
          <w:color w:val="0A1F2E"/>
          <w:sz w:val="40"/>
        </w:rPr>
        <w:t>2. The leader I am becoming</w:t>
      </w:r>
    </w:p>
    <w:p>
      <w:pPr>
        <w:spacing w:after="160" w:line="293" w:lineRule="auto"/>
        <w:jc w:val="left"/>
      </w:pPr>
      <w:r>
        <w:rPr>
          <w:rFonts w:ascii="Calibri" w:hAnsi="Calibri" w:eastAsia="Calibri"/>
          <w:b w:val="0"/>
          <w:i w:val="0"/>
          <w:color w:val="1E2F38"/>
          <w:sz w:val="22"/>
        </w:rPr>
        <w:t>Women-led ventures in HealthTech carry a double responsibility: build credible technology and earn trust in communities where care has often been late, costly, or out of reach. My leadership journey combines clinical operations, community outreach, and product vision for FCHIP.</w:t>
      </w:r>
    </w:p>
    <w:p>
      <w:pPr>
        <w:spacing w:after="160" w:line="293" w:lineRule="auto"/>
        <w:jc w:val="left"/>
      </w:pPr>
      <w:r>
        <w:rPr>
          <w:rFonts w:ascii="Calibri" w:hAnsi="Calibri" w:eastAsia="Calibri"/>
          <w:b w:val="0"/>
          <w:i w:val="0"/>
          <w:color w:val="1E2F38"/>
          <w:sz w:val="22"/>
        </w:rPr>
        <w:t>Through FairBanks Community Reach I work alongside CHWs and Village Health Teams in Kampala-area communities — maternal and child health, adolescent health, chronic screening, and home visits. That ground truth shapes how I make decisions: communities first, evidence always, scale with integrity.</w:t>
      </w:r>
    </w:p>
    <w:p>
      <w:pPr>
        <w:spacing w:before="280" w:after="120"/>
      </w:pPr>
      <w:r>
        <w:rPr>
          <w:rFonts w:ascii="Calibri" w:hAnsi="Calibri" w:eastAsia="Calibri"/>
          <w:b/>
          <w:i w:val="0"/>
          <w:color w:val="0A1F2E"/>
          <w:sz w:val="40"/>
        </w:rPr>
        <w:t>3. FCHIP — women-led HealthTech from Uganda</w:t>
      </w:r>
    </w:p>
    <w:p>
      <w:pPr>
        <w:jc w:val="center"/>
      </w:pPr>
      <w:r>
        <w:drawing>
          <wp:inline xmlns:a="http://schemas.openxmlformats.org/drawingml/2006/main" xmlns:pic="http://schemas.openxmlformats.org/drawingml/2006/picture">
            <wp:extent cx="4665106" cy="3108960"/>
            <wp:docPr id="2" name="Picture 2"/>
            <wp:cNvGraphicFramePr>
              <a:graphicFrameLocks noChangeAspect="1"/>
            </wp:cNvGraphicFramePr>
            <a:graphic>
              <a:graphicData uri="http://schemas.openxmlformats.org/drawingml/2006/picture">
                <pic:pic>
                  <pic:nvPicPr>
                    <pic:cNvPr id="0" name="data_flow_iso_labeled_opt.jpg"/>
                    <pic:cNvPicPr/>
                  </pic:nvPicPr>
                  <pic:blipFill>
                    <a:blip r:embed="rId10"/>
                    <a:stretch>
                      <a:fillRect/>
                    </a:stretch>
                  </pic:blipFill>
                  <pic:spPr>
                    <a:xfrm>
                      <a:off x="0" y="0"/>
                      <a:ext cx="4665106" cy="3108960"/>
                    </a:xfrm>
                    <a:prstGeom prst="rect"/>
                  </pic:spPr>
                </pic:pic>
              </a:graphicData>
            </a:graphic>
          </wp:inline>
        </w:drawing>
      </w:r>
    </w:p>
    <w:p>
      <w:pPr>
        <w:spacing w:after="200" w:line="293" w:lineRule="auto"/>
        <w:jc w:val="center"/>
      </w:pPr>
      <w:r>
        <w:rPr>
          <w:rFonts w:ascii="Calibri" w:hAnsi="Calibri" w:eastAsia="Calibri"/>
          <w:b w:val="0"/>
          <w:i/>
          <w:color w:val="3A4A54"/>
          <w:sz w:val="18"/>
        </w:rPr>
        <w:t>FCHIP — intelligence on the FairBanks community health cascade</w:t>
      </w:r>
    </w:p>
    <w:p>
      <w:pPr>
        <w:spacing w:after="160" w:line="293" w:lineRule="auto"/>
        <w:jc w:val="left"/>
      </w:pPr>
      <w:r>
        <w:rPr>
          <w:rFonts w:ascii="Calibri" w:hAnsi="Calibri" w:eastAsia="Calibri"/>
          <w:b w:val="0"/>
          <w:i w:val="0"/>
          <w:color w:val="1E2F38"/>
          <w:sz w:val="22"/>
        </w:rPr>
        <w:t>FairBanks Community Health Intelligence Platform (FCHIP) is the intelligence layer on our cascade: community members → CHWs/VHTs → outreach programmes → medical centre → research and partnerships → economic empowerment. FCHIP turns community-generated data into early warnings — outbreaks, high-risk pregnancies, chronic-disease hotspots, child-health threats, and medicine demand — before crises hit.</w:t>
      </w:r>
    </w:p>
    <w:p>
      <w:pPr>
        <w:spacing w:after="160" w:line="293" w:lineRule="auto"/>
        <w:jc w:val="left"/>
      </w:pPr>
      <w:r>
        <w:rPr>
          <w:rFonts w:ascii="Calibri" w:hAnsi="Calibri" w:eastAsia="Calibri"/>
          <w:b w:val="0"/>
          <w:i w:val="0"/>
          <w:color w:val="1E2F38"/>
          <w:sz w:val="22"/>
        </w:rPr>
        <w:t>This is deep technology: offline mobile capture, cloud sync, AI/ML risk scoring, GIS mapping, and dashboards for clinics, districts, and partners. It is built to move primary care from reactive treatment to proactive prevention.</w:t>
      </w:r>
    </w:p>
    <w:p>
      <w:pPr>
        <w:spacing w:before="280" w:after="120"/>
      </w:pPr>
      <w:r>
        <w:rPr>
          <w:rFonts w:ascii="Calibri" w:hAnsi="Calibri" w:eastAsia="Calibri"/>
          <w:b/>
          <w:i w:val="0"/>
          <w:color w:val="0A1F2E"/>
          <w:sz w:val="40"/>
        </w:rPr>
        <w:t>4. What the fellowship unlocks for FairBanks</w:t>
      </w:r>
    </w:p>
    <w:p>
      <w:pPr>
        <w:spacing w:after="160" w:line="293" w:lineRule="auto"/>
        <w:jc w:val="left"/>
      </w:pPr>
      <w:r>
        <w:rPr>
          <w:rFonts w:ascii="Calibri" w:hAnsi="Calibri" w:eastAsia="Calibri"/>
          <w:b w:val="0"/>
          <w:i w:val="0"/>
          <w:color w:val="1E2F38"/>
          <w:sz w:val="22"/>
        </w:rPr>
        <w:t>AUC Venture Lab has supported 440+ startups and raised strong investment across Africa. For FairBanks, the fellowship offers leadership development, mentor access, and ecosystem engagement that accelerate FCHIP from live pilot to investment-ready venture.</w:t>
      </w:r>
    </w:p>
    <w:p>
      <w:pPr>
        <w:spacing w:after="160" w:line="293" w:lineRule="auto"/>
        <w:jc w:val="left"/>
      </w:pPr>
      <w:r>
        <w:rPr>
          <w:rFonts w:ascii="Calibri" w:hAnsi="Calibri" w:eastAsia="Calibri"/>
          <w:b w:val="0"/>
          <w:i w:val="0"/>
          <w:color w:val="1E2F38"/>
          <w:sz w:val="22"/>
        </w:rPr>
        <w:t>I seek structured training in strategic decision-making, storytelling to investors, and resilient founder leadership — skills that strengthen how we govern data ethically and scale across East Africa.</w:t>
      </w:r>
    </w:p>
    <w:p>
      <w:pPr>
        <w:spacing w:before="280" w:after="120"/>
      </w:pPr>
      <w:r>
        <w:rPr>
          <w:rFonts w:ascii="Calibri" w:hAnsi="Calibri" w:eastAsia="Calibri"/>
          <w:b/>
          <w:i w:val="0"/>
          <w:color w:val="0A1F2E"/>
          <w:sz w:val="40"/>
        </w:rPr>
        <w:t>5. What I bring to the cohort</w:t>
      </w:r>
    </w:p>
    <w:p>
      <w:pPr>
        <w:spacing w:after="160" w:line="293" w:lineRule="auto"/>
        <w:jc w:val="left"/>
      </w:pPr>
      <w:r>
        <w:rPr>
          <w:rFonts w:ascii="Calibri" w:hAnsi="Calibri" w:eastAsia="Calibri"/>
          <w:b w:val="0"/>
          <w:i w:val="0"/>
          <w:color w:val="1E2F38"/>
          <w:sz w:val="22"/>
        </w:rPr>
        <w:t>A functioning medical centre and pharmacy generating real patient and community signals.</w:t>
      </w:r>
    </w:p>
    <w:p>
      <w:pPr>
        <w:spacing w:after="160" w:line="293" w:lineRule="auto"/>
        <w:jc w:val="left"/>
      </w:pPr>
      <w:r>
        <w:rPr>
          <w:rFonts w:ascii="Calibri" w:hAnsi="Calibri" w:eastAsia="Calibri"/>
          <w:b w:val="0"/>
          <w:i w:val="0"/>
          <w:color w:val="1E2F38"/>
          <w:sz w:val="22"/>
        </w:rPr>
        <w:t>Active outreach in Bukoto, Kyebando, Kisaasi, Kamwokya, Kikaaya, and surrounding areas.</w:t>
      </w:r>
    </w:p>
    <w:p>
      <w:pPr>
        <w:spacing w:after="160" w:line="293" w:lineRule="auto"/>
        <w:jc w:val="left"/>
      </w:pPr>
      <w:r>
        <w:rPr>
          <w:rFonts w:ascii="Calibri" w:hAnsi="Calibri" w:eastAsia="Calibri"/>
          <w:b w:val="0"/>
          <w:i w:val="0"/>
          <w:color w:val="1E2F38"/>
          <w:sz w:val="22"/>
        </w:rPr>
        <w:t>Trusted CHW/VHT relationships and programmes on maternal health, adolescents, and chronic care.</w:t>
      </w:r>
    </w:p>
    <w:p>
      <w:pPr>
        <w:spacing w:after="160" w:line="293" w:lineRule="auto"/>
        <w:jc w:val="left"/>
      </w:pPr>
      <w:r>
        <w:rPr>
          <w:rFonts w:ascii="Calibri" w:hAnsi="Calibri" w:eastAsia="Calibri"/>
          <w:b w:val="0"/>
          <w:i w:val="0"/>
          <w:color w:val="1E2F38"/>
          <w:sz w:val="22"/>
        </w:rPr>
        <w:t>A live HealthTech product direction (FCHIP) validated in the field, not only on slides.</w:t>
      </w:r>
    </w:p>
    <w:p>
      <w:pPr>
        <w:spacing w:after="160" w:line="293" w:lineRule="auto"/>
        <w:jc w:val="left"/>
      </w:pPr>
      <w:r>
        <w:rPr>
          <w:rFonts w:ascii="Calibri" w:hAnsi="Calibri" w:eastAsia="Calibri"/>
          <w:b w:val="0"/>
          <w:i w:val="0"/>
          <w:color w:val="1E2F38"/>
          <w:sz w:val="22"/>
        </w:rPr>
        <w:t>A bridge between grassroots health realities and continental HealthTech discourse.</w:t>
      </w:r>
    </w:p>
    <w:p>
      <w:pPr>
        <w:pStyle w:val="ListBullet"/>
      </w:pPr>
      <w:r>
        <w:rPr>
          <w:rFonts w:ascii="Calibri" w:hAnsi="Calibri" w:eastAsia="Calibri"/>
          <w:b w:val="0"/>
          <w:i w:val="0"/>
          <w:color w:val="1E2F38"/>
          <w:sz w:val="22"/>
        </w:rPr>
        <w:t>A functioning medical centre and pharmacy generating real patient and community signals.</w:t>
      </w:r>
    </w:p>
    <w:p>
      <w:pPr>
        <w:pStyle w:val="ListBullet"/>
      </w:pPr>
      <w:r>
        <w:rPr>
          <w:rFonts w:ascii="Calibri" w:hAnsi="Calibri" w:eastAsia="Calibri"/>
          <w:b w:val="0"/>
          <w:i w:val="0"/>
          <w:color w:val="1E2F38"/>
          <w:sz w:val="22"/>
        </w:rPr>
        <w:t>Active outreach in Bukoto, Kyebando, Kisaasi, Kamwokya, Kikaaya, and surrounding areas.</w:t>
      </w:r>
    </w:p>
    <w:p>
      <w:pPr>
        <w:pStyle w:val="ListBullet"/>
      </w:pPr>
      <w:r>
        <w:rPr>
          <w:rFonts w:ascii="Calibri" w:hAnsi="Calibri" w:eastAsia="Calibri"/>
          <w:b w:val="0"/>
          <w:i w:val="0"/>
          <w:color w:val="1E2F38"/>
          <w:sz w:val="22"/>
        </w:rPr>
        <w:t>Trusted CHW/VHT relationships and programmes on maternal health, adolescents, and chronic care.</w:t>
      </w:r>
    </w:p>
    <w:p>
      <w:pPr>
        <w:pStyle w:val="ListBullet"/>
      </w:pPr>
      <w:r>
        <w:rPr>
          <w:rFonts w:ascii="Calibri" w:hAnsi="Calibri" w:eastAsia="Calibri"/>
          <w:b w:val="0"/>
          <w:i w:val="0"/>
          <w:color w:val="1E2F38"/>
          <w:sz w:val="22"/>
        </w:rPr>
        <w:t>A live HealthTech product direction (FCHIP) validated in the field, not only on slides.</w:t>
      </w:r>
    </w:p>
    <w:p>
      <w:pPr>
        <w:pStyle w:val="ListBullet"/>
      </w:pPr>
      <w:r>
        <w:rPr>
          <w:rFonts w:ascii="Calibri" w:hAnsi="Calibri" w:eastAsia="Calibri"/>
          <w:b w:val="0"/>
          <w:i w:val="0"/>
          <w:color w:val="1E2F38"/>
          <w:sz w:val="22"/>
        </w:rPr>
        <w:t>A bridge between grassroots health realities and continental HealthTech discourse.</w:t>
      </w:r>
    </w:p>
    <w:p>
      <w:pPr>
        <w:spacing w:before="280" w:after="120"/>
      </w:pPr>
      <w:r>
        <w:rPr>
          <w:rFonts w:ascii="Calibri" w:hAnsi="Calibri" w:eastAsia="Calibri"/>
          <w:b/>
          <w:i w:val="0"/>
          <w:color w:val="0A1F2E"/>
          <w:sz w:val="40"/>
        </w:rPr>
        <w:t>6. Cairo fellowship goals (September–October 2026)</w:t>
      </w:r>
    </w:p>
    <w:p>
      <w:pPr>
        <w:spacing w:after="160" w:line="293" w:lineRule="auto"/>
        <w:jc w:val="left"/>
      </w:pPr>
      <w:r>
        <w:rPr>
          <w:rFonts w:ascii="Calibri" w:hAnsi="Calibri" w:eastAsia="Calibri"/>
          <w:b w:val="0"/>
          <w:i w:val="0"/>
          <w:color w:val="1E2F38"/>
          <w:sz w:val="22"/>
        </w:rPr>
        <w:t>Refine FCHIP’s investor narrative and go-to-market for clinics, districts, and NGO partners.</w:t>
      </w:r>
    </w:p>
    <w:p>
      <w:pPr>
        <w:spacing w:after="160" w:line="293" w:lineRule="auto"/>
        <w:jc w:val="left"/>
      </w:pPr>
      <w:r>
        <w:rPr>
          <w:rFonts w:ascii="Calibri" w:hAnsi="Calibri" w:eastAsia="Calibri"/>
          <w:b w:val="0"/>
          <w:i w:val="0"/>
          <w:color w:val="1E2F38"/>
          <w:sz w:val="22"/>
        </w:rPr>
        <w:t>Build mentor relationships in HealthTech, AI, and impact investing across Egypt and broader Africa.</w:t>
      </w:r>
    </w:p>
    <w:p>
      <w:pPr>
        <w:spacing w:after="160" w:line="293" w:lineRule="auto"/>
        <w:jc w:val="left"/>
      </w:pPr>
      <w:r>
        <w:rPr>
          <w:rFonts w:ascii="Calibri" w:hAnsi="Calibri" w:eastAsia="Calibri"/>
          <w:b w:val="0"/>
          <w:i w:val="0"/>
          <w:color w:val="1E2F38"/>
          <w:sz w:val="22"/>
        </w:rPr>
        <w:t>Design a cross-regional learning exchange — how community intelligence models transfer between countries.</w:t>
      </w:r>
    </w:p>
    <w:p>
      <w:pPr>
        <w:spacing w:after="160" w:line="293" w:lineRule="auto"/>
        <w:jc w:val="left"/>
      </w:pPr>
      <w:r>
        <w:rPr>
          <w:rFonts w:ascii="Calibri" w:hAnsi="Calibri" w:eastAsia="Calibri"/>
          <w:b w:val="0"/>
          <w:i w:val="0"/>
          <w:color w:val="1E2F38"/>
          <w:sz w:val="22"/>
        </w:rPr>
        <w:t>Return to Uganda with sharper leadership, a stronger network, and a clearer scale plan for FCHIP.</w:t>
      </w:r>
    </w:p>
    <w:p>
      <w:pPr>
        <w:pStyle w:val="ListBullet"/>
      </w:pPr>
      <w:r>
        <w:rPr>
          <w:rFonts w:ascii="Calibri" w:hAnsi="Calibri" w:eastAsia="Calibri"/>
          <w:b w:val="0"/>
          <w:i w:val="0"/>
          <w:color w:val="1E2F38"/>
          <w:sz w:val="22"/>
        </w:rPr>
        <w:t>Leadership labs: decision-making under uncertainty in community health markets</w:t>
      </w:r>
    </w:p>
    <w:p>
      <w:pPr>
        <w:pStyle w:val="ListBullet"/>
      </w:pPr>
      <w:r>
        <w:rPr>
          <w:rFonts w:ascii="Calibri" w:hAnsi="Calibri" w:eastAsia="Calibri"/>
          <w:b w:val="0"/>
          <w:i w:val="0"/>
          <w:color w:val="1E2F38"/>
          <w:sz w:val="22"/>
        </w:rPr>
        <w:t>Mentor hours with HealthTech founders and investors in AUC’s ecosystem</w:t>
      </w:r>
    </w:p>
    <w:p>
      <w:pPr>
        <w:pStyle w:val="ListBullet"/>
      </w:pPr>
      <w:r>
        <w:rPr>
          <w:rFonts w:ascii="Calibri" w:hAnsi="Calibri" w:eastAsia="Calibri"/>
          <w:b w:val="0"/>
          <w:i w:val="0"/>
          <w:color w:val="1E2F38"/>
          <w:sz w:val="22"/>
        </w:rPr>
        <w:t>Cross-cultural collaboration with fellows from Egypt, Denmark links, and beyond</w:t>
      </w:r>
    </w:p>
    <w:p>
      <w:pPr>
        <w:pStyle w:val="ListBullet"/>
      </w:pPr>
      <w:r>
        <w:rPr>
          <w:rFonts w:ascii="Calibri" w:hAnsi="Calibri" w:eastAsia="Calibri"/>
          <w:b w:val="0"/>
          <w:i w:val="0"/>
          <w:color w:val="1E2F38"/>
          <w:sz w:val="22"/>
        </w:rPr>
        <w:t>Pitch refinement for FCHIP as a women-led, Africa-rooted intelligence company</w:t>
      </w:r>
    </w:p>
    <w:p>
      <w:pPr>
        <w:spacing w:before="280" w:after="120"/>
      </w:pPr>
      <w:r>
        <w:rPr>
          <w:rFonts w:ascii="Calibri" w:hAnsi="Calibri" w:eastAsia="Calibri"/>
          <w:b/>
          <w:i w:val="0"/>
          <w:color w:val="0A1F2E"/>
          <w:sz w:val="40"/>
        </w:rPr>
        <w:t>7. A partnership that lifts both sides</w:t>
      </w:r>
    </w:p>
    <w:p>
      <w:pPr>
        <w:spacing w:after="160" w:line="293" w:lineRule="auto"/>
        <w:jc w:val="left"/>
      </w:pPr>
      <w:r>
        <w:rPr>
          <w:rFonts w:ascii="Calibri" w:hAnsi="Calibri" w:eastAsia="Calibri"/>
          <w:b w:val="0"/>
          <w:i w:val="0"/>
          <w:color w:val="1E2F38"/>
          <w:sz w:val="22"/>
        </w:rPr>
        <w:t>This fellowship works when the cohort gains from real ventures — and ventures gain from structured leadership growth. FairBanks offers live community health operations; AUC Venture Lab offers the mentorship and ecosystem that help FCHIP become investment-ready across Africa.</w:t>
      </w:r>
    </w:p>
    <w:p>
      <w:pPr>
        <w:spacing w:after="160" w:line="293" w:lineRule="auto"/>
        <w:jc w:val="left"/>
      </w:pPr>
      <w:r>
        <w:rPr>
          <w:rFonts w:ascii="Calibri" w:hAnsi="Calibri" w:eastAsia="Calibri"/>
          <w:b/>
          <w:i w:val="0"/>
          <w:color w:val="1E2F38"/>
          <w:sz w:val="22"/>
        </w:rPr>
        <w:t>For FairBanks: World-class accelerator training, continental visibility, and mentor networks that help FCHIP scale beyond Uganda.</w:t>
      </w:r>
    </w:p>
    <w:p>
      <w:pPr>
        <w:spacing w:after="160" w:line="293" w:lineRule="auto"/>
        <w:jc w:val="left"/>
      </w:pPr>
      <w:r>
        <w:rPr>
          <w:rFonts w:ascii="Calibri" w:hAnsi="Calibri" w:eastAsia="Calibri"/>
          <w:b/>
          <w:i w:val="0"/>
          <w:color w:val="1E2F38"/>
          <w:sz w:val="22"/>
        </w:rPr>
        <w:t>For AUC Venture Lab: A fellow bringing live HealthTech field validation, CHW data pipelines, and a compelling women-innovation story from East Africa.</w:t>
      </w:r>
    </w:p>
    <w:p>
      <w:pPr>
        <w:jc w:val="center"/>
      </w:pPr>
      <w:r>
        <w:drawing>
          <wp:inline xmlns:a="http://schemas.openxmlformats.org/drawingml/2006/main" xmlns:pic="http://schemas.openxmlformats.org/drawingml/2006/picture">
            <wp:extent cx="4665106" cy="3108960"/>
            <wp:docPr id="3" name="Picture 3"/>
            <wp:cNvGraphicFramePr>
              <a:graphicFrameLocks noChangeAspect="1"/>
            </wp:cNvGraphicFramePr>
            <a:graphic>
              <a:graphicData uri="http://schemas.openxmlformats.org/drawingml/2006/picture">
                <pic:pic>
                  <pic:nvPicPr>
                    <pic:cNvPr id="0" name="outreach_audience_full_group_01_opt.jpg"/>
                    <pic:cNvPicPr/>
                  </pic:nvPicPr>
                  <pic:blipFill>
                    <a:blip r:embed="rId11"/>
                    <a:stretch>
                      <a:fillRect/>
                    </a:stretch>
                  </pic:blipFill>
                  <pic:spPr>
                    <a:xfrm>
                      <a:off x="0" y="0"/>
                      <a:ext cx="4665106" cy="3108960"/>
                    </a:xfrm>
                    <a:prstGeom prst="rect"/>
                  </pic:spPr>
                </pic:pic>
              </a:graphicData>
            </a:graphic>
          </wp:inline>
        </w:drawing>
      </w:r>
    </w:p>
    <w:p>
      <w:pPr>
        <w:spacing w:after="200" w:line="293" w:lineRule="auto"/>
        <w:jc w:val="center"/>
      </w:pPr>
      <w:r>
        <w:rPr>
          <w:rFonts w:ascii="Calibri" w:hAnsi="Calibri" w:eastAsia="Calibri"/>
          <w:b w:val="0"/>
          <w:i/>
          <w:color w:val="3A4A54"/>
          <w:sz w:val="18"/>
        </w:rPr>
        <w:t>Community-first HealthTech — Your health, our mission.</w:t>
      </w:r>
    </w:p>
    <w:p>
      <w:pPr>
        <w:spacing w:after="160" w:line="293" w:lineRule="auto"/>
        <w:jc w:val="center"/>
      </w:pPr>
      <w:r>
        <w:rPr>
          <w:rFonts w:ascii="Calibri" w:hAnsi="Calibri" w:eastAsia="Calibri"/>
          <w:b/>
          <w:i/>
          <w:color w:val="C45C26"/>
          <w:sz w:val="24"/>
        </w:rPr>
        <w:t>Your health, our mission.</w:t>
      </w:r>
    </w:p>
    <w:p>
      <w:pPr>
        <w:spacing w:after="160" w:line="293" w:lineRule="auto"/>
        <w:jc w:val="center"/>
      </w:pPr>
      <w:r>
        <w:rPr>
          <w:rFonts w:ascii="Calibri" w:hAnsi="Calibri" w:eastAsia="Calibri"/>
          <w:b w:val="0"/>
          <w:i/>
          <w:color w:val="3A4A54"/>
          <w:sz w:val="16"/>
        </w:rPr>
        <w:t>Source: https://opportunitiesforyouth.org/2026/07/16/auc-venture-lab-women-innovation-fellowship-empowering-women-entrepreneurs-in-egypt-and-beyond/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