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IFAD Grant — Rural Sector Performance Assessment (up to US$1.2M)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Concept Note — Health–Livelihood Intelligence for Rural Policy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24"/>
        </w:rPr>
        <w:t>Linking community health signals to rural development performance and investment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for All — Obulamu eri Bonna · Afya kwa Wote · Oburamu bwa Boona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Optional non-binding Expression of Interest by 31 July 2026 · Full proposal by 4 September 2026 (12:00 CET)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https://opportunitiesforyouth.org/2026/07/14/ifad-announces-us1-2-million-grant-call-for-proposals-to-strengthen-rural-development-policies-worldwide/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Concept note summary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IFAD seeks proposals up to US$1.2M to leverage the Rural Sector Performance Assessment for better policy and investment — open to non-profits, private firms, universities, and think tanks.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FairBanks' cascade already links health to livelihoods and resilient families. FCHIP can contribute community health and vulnerability signals that make rural performance assessment more human-centred. This pack frames a careful, partnership-ready fit — to be confirmed against IFAD's detailed thematic guidance before full proposal effort.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Thematic fit verification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treat thematic alignment as a gate, not an assumption. Before investing full proposal effort, FairBanks will submit an optional Expression of Interest (31 July 2026) and review IFAD's detailed guidance against our proposed health–livelihood indicators.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 official guidance confirms fit, we proceed to a full proposal by 4 September 2026. If not, we will not stretch the narrative beyond what the call supports — protecting evaluator time and our own integrity.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Health shocks and rural livelihoods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outdoor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outreach — where health meets livelihoods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Rural policy often tracks production and infrastructure while under-weighting health shocks that wipe out household gains. A fever outbreak, a complicated pregnancy, or untreated hypertension can erase months of farm income and push families into debt.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Without community health intelligence, rural performance assessments miss a core driver of poverty. FairBanks sees this daily through outreach in peri-urban and rural-facing catchments around Kampala and partner communities.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FCHIP contribution to rural performance assessment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signals on the FairBanks community cascade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propose a workstream where FCHIP community indicators — illness clusters, maternal risk, missed care, medicine stock-outs — inform rural performance dashboards and policy briefs, co-designed with research institutes and IFAD partners.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FairBanks cascade connects community members, CHWs/VHTs, outreach programmes, clinical care, research partnerships, and economic empowerment. FCHIP is the intelligence layer that makes health–livelihood linkages visible to policymakers.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Partnership and counterpart model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brings field operations, CHW networks, and data stewardship. We expect to partner with a university or think tank for rigorous assessment design, ethics review, and policy writing.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IFAD requires 20–25% counterpart contribution. FairBanks will meet this through in-kind field operations, staff time, outreach infrastructure, and existing digital health foundations — not as a cash substitute for core research costs.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Proposed workstreams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Health-shock markers linked to livelihood stress in rural performance dashboards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Community-generated indicators from CHW outreach and clinic encounters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Policy briefs translating FCHIP signals into rural investment priorities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Partner-led evaluation design with academic / think-tank co-authorship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Pathway — EOI to policy learning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6624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By 31 Jul 2026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Optional non-binding Expression of Interest to test thematic fit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Review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Confirm alignment with IFAD Rural Sector Performance Assessment guidance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By 4 Sep 2026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Full proposal only if thematic fit is confirmed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Year 1–2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Pilot health–livelihood indicators in FairBanks / partner rural catchments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Learning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Policy notes for IFAD, national stakeholders, and rural investment planners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Indicative resources and counterpart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60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  <w:tc>
          <w:tcPr>
            <w:tcW w:type="dxa" w:w="1728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Research &amp; assessment design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Methods, partner contracts, ethics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data &amp; FCHIP modules</w:t>
            </w:r>
          </w:p>
        </w:tc>
        <w:tc>
          <w:tcPr>
            <w:tcW w:type="dxa" w:w="460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Indicators, dashboards, data quality</w:t>
            </w:r>
          </w:p>
        </w:tc>
        <w:tc>
          <w:tcPr>
            <w:tcW w:type="dxa" w:w="172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Policy engagement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Briefs, stakeholder dialogues, learning events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Share of grant</w:t>
            </w:r>
          </w:p>
        </w:tc>
      </w:tr>
      <w:tr>
        <w:tc>
          <w:tcPr>
            <w:tcW w:type="dxa" w:w="288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counterpart</w:t>
            </w:r>
          </w:p>
        </w:tc>
        <w:tc>
          <w:tcPr>
            <w:tcW w:type="dxa" w:w="460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ops, CHW supervision, outreach, staff time</w:t>
            </w:r>
          </w:p>
        </w:tc>
        <w:tc>
          <w:tcPr>
            <w:tcW w:type="dxa" w:w="1728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20–25% in-kind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Ceiling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Per IFAD call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Up to US$1.2M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Mutual value and honest fit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gains: Resources to connect health intelligence with rural livelihood policy; university partnerships; evidence that prevention protects income and food security.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IFAD gains: Ground-level health and vulnerability data from community programmes; social-enterprise implementer with field access; SDG-aligned health-shock narrative; counterpart contribution via live operations.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/>
          <w:color w:val="1E2F38"/>
          <w:sz w:val="22"/>
        </w:rPr>
        <w:t>We will submit an EOI and proceed to full proposal only where official IFAD guidance confirms thematic fit.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10. Expression of interest ask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Rural development succeeds when families stay healthy enough to work and thrive. FairBanks can help IFAD see that link clearly — with rigorous partners and community-rooted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health signals to rural policy learning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https://opportunitiesforyouth.org/2026/07/14/ifad-announces-us1-2-million-grant-call-for-proposals-to-strengthen-rural-development-policies-worldwide/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