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rFonts w:ascii="Calibri" w:hAnsi="Calibri"/>
          <w:b/>
          <w:i w:val="0"/>
          <w:color w:val="222222"/>
          <w:sz w:val="22"/>
        </w:rPr>
        <w:t>PUBLICATION INFORMATION</w:t>
      </w:r>
    </w:p>
    <w:p>
      <w:pPr>
        <w:spacing w:after="200" w:before="0" w:line="259" w:lineRule="auto"/>
        <w:jc w:val="center"/>
      </w:pPr>
      <w:r>
        <w:rPr>
          <w:rFonts w:ascii="Calibri" w:hAnsi="Calibri"/>
          <w:b w:val="0"/>
          <w:i/>
          <w:color w:val="222222"/>
          <w:sz w:val="18"/>
        </w:rPr>
        <w:t>Document control: Handbook Version 1.0.1 — MASTER FREEZE (precision edition). Skeleton: Handbook v1.0.0. Parent: Blueprint Founding Edition v1.0.1. Working forms live in the FairBanks Management Toolkit v1.0.0.</w:t>
      </w:r>
    </w:p>
    <w:p>
      <w:pPr>
        <w:spacing w:after="60" w:before="0" w:line="259" w:lineRule="auto"/>
        <w:jc w:val="center"/>
      </w:pPr>
      <w:r>
        <w:rPr>
          <w:rFonts w:ascii="Calibri" w:hAnsi="Calibri"/>
          <w:b/>
          <w:i w:val="0"/>
          <w:color w:val="1A3A5C"/>
          <w:sz w:val="40"/>
        </w:rPr>
        <w:t>THE FAIRBANKS HANDBOOK</w:t>
      </w:r>
    </w:p>
    <w:p>
      <w:pPr>
        <w:spacing w:after="80" w:before="0" w:line="259" w:lineRule="auto"/>
        <w:jc w:val="center"/>
      </w:pPr>
      <w:r>
        <w:rPr>
          <w:rFonts w:ascii="Calibri" w:hAnsi="Calibri"/>
          <w:b w:val="0"/>
          <w:i/>
          <w:color w:val="222222"/>
          <w:sz w:val="26"/>
        </w:rPr>
        <w:t>Institutional Transformation Handbook</w:t>
      </w:r>
    </w:p>
    <w:p>
      <w:pPr>
        <w:spacing w:after="60" w:before="0" w:line="259" w:lineRule="auto"/>
        <w:jc w:val="center"/>
      </w:pPr>
      <w:r>
        <w:rPr>
          <w:rFonts w:ascii="Calibri" w:hAnsi="Calibri"/>
          <w:b/>
          <w:i w:val="0"/>
          <w:color w:val="1A3A5C"/>
          <w:sz w:val="24"/>
        </w:rPr>
        <w:t>Version 1.0.1</w:t>
      </w:r>
    </w:p>
    <w:p>
      <w:pPr>
        <w:spacing w:after="60" w:before="0" w:line="259" w:lineRule="auto"/>
        <w:jc w:val="center"/>
      </w:pPr>
      <w:r>
        <w:rPr>
          <w:rFonts w:ascii="Calibri" w:hAnsi="Calibri"/>
          <w:b w:val="0"/>
          <w:i/>
          <w:color w:val="222222"/>
          <w:sz w:val="20"/>
        </w:rPr>
        <w:t>Parent: FairBanks Blueprint — Founding Edition Version 1.0.1 (Master Freeze)</w:t>
      </w:r>
    </w:p>
    <w:p>
      <w:pPr>
        <w:spacing w:after="120" w:before="0" w:line="259" w:lineRule="auto"/>
        <w:jc w:val="center"/>
      </w:pPr>
      <w:r>
        <w:rPr>
          <w:rFonts w:ascii="Calibri" w:hAnsi="Calibri"/>
          <w:b w:val="0"/>
          <w:i w:val="0"/>
          <w:color w:val="222222"/>
          <w:sz w:val="22"/>
        </w:rPr>
        <w:t>2027–2032 Strategic Horizon</w:t>
      </w:r>
    </w:p>
    <w:p>
      <w:pPr>
        <w:spacing w:after="200" w:before="0" w:line="259" w:lineRule="auto"/>
        <w:jc w:val="center"/>
      </w:pPr>
      <w:r>
        <w:rPr>
          <w:rFonts w:ascii="Calibri" w:hAnsi="Calibri"/>
          <w:b w:val="0"/>
          <w:i/>
          <w:color w:val="222222"/>
          <w:sz w:val="24"/>
        </w:rPr>
        <w:t>Your Health, Our Mission.</w:t>
      </w:r>
    </w:p>
    <w:p>
      <w:pPr>
        <w:spacing w:before="140" w:after="60"/>
      </w:pPr>
      <w:r>
        <w:rPr>
          <w:rFonts w:ascii="Calibri" w:hAnsi="Calibri"/>
          <w:b/>
          <w:i w:val="0"/>
          <w:color w:val="1A3A5C"/>
          <w:sz w:val="22"/>
        </w:rPr>
        <w:t>Published by</w:t>
      </w:r>
    </w:p>
    <w:p>
      <w:pPr>
        <w:spacing w:after="20" w:before="0" w:line="259" w:lineRule="auto"/>
        <w:jc w:val="left"/>
      </w:pPr>
      <w:r>
        <w:rPr>
          <w:rFonts w:ascii="Calibri" w:hAnsi="Calibri"/>
          <w:b w:val="0"/>
          <w:i w:val="0"/>
          <w:color w:val="222222"/>
          <w:sz w:val="20"/>
        </w:rPr>
        <w:t>FAIRBANKS MEDICAL CENTRE LIMITED</w:t>
      </w:r>
    </w:p>
    <w:p>
      <w:pPr>
        <w:spacing w:after="20" w:before="0" w:line="259" w:lineRule="auto"/>
        <w:jc w:val="left"/>
      </w:pPr>
      <w:r>
        <w:rPr>
          <w:rFonts w:ascii="Calibri" w:hAnsi="Calibri"/>
          <w:b w:val="0"/>
          <w:i w:val="0"/>
          <w:color w:val="222222"/>
          <w:sz w:val="20"/>
        </w:rPr>
        <w:t>Plot 1423 and 1425, Tirupati Road, Fairbanks Medical Centre</w:t>
      </w:r>
    </w:p>
    <w:p>
      <w:pPr>
        <w:spacing w:after="20" w:before="0" w:line="259" w:lineRule="auto"/>
        <w:jc w:val="left"/>
      </w:pPr>
      <w:r>
        <w:rPr>
          <w:rFonts w:ascii="Calibri" w:hAnsi="Calibri"/>
          <w:b w:val="0"/>
          <w:i w:val="0"/>
          <w:color w:val="222222"/>
          <w:sz w:val="20"/>
        </w:rPr>
        <w:t>Lugogo, Kololo IV, Kampala Central Division</w:t>
      </w:r>
    </w:p>
    <w:p>
      <w:pPr>
        <w:spacing w:after="20" w:before="0" w:line="259" w:lineRule="auto"/>
        <w:jc w:val="left"/>
      </w:pPr>
      <w:r>
        <w:rPr>
          <w:rFonts w:ascii="Calibri" w:hAnsi="Calibri"/>
          <w:b w:val="0"/>
          <w:i w:val="0"/>
          <w:color w:val="222222"/>
          <w:sz w:val="20"/>
        </w:rPr>
        <w:t>Kampala, Uganda</w:t>
      </w:r>
    </w:p>
    <w:p>
      <w:pPr>
        <w:spacing w:before="140" w:after="60"/>
      </w:pPr>
      <w:r>
        <w:rPr>
          <w:rFonts w:ascii="Calibri" w:hAnsi="Calibri"/>
          <w:b/>
          <w:i w:val="0"/>
          <w:color w:val="1A3A5C"/>
          <w:sz w:val="22"/>
        </w:rPr>
        <w:t>Institutional particulars (URA Notice DT-1112)</w:t>
      </w:r>
    </w:p>
    <w:p>
      <w:pPr>
        <w:pStyle w:val="ListBullet"/>
        <w:spacing w:after="20"/>
      </w:pPr>
      <w:r>
        <w:rPr>
          <w:rFonts w:ascii="Calibri" w:hAnsi="Calibri"/>
          <w:b w:val="0"/>
          <w:i w:val="0"/>
          <w:color w:val="222222"/>
          <w:sz w:val="20"/>
        </w:rPr>
        <w:t>TIN: 1053370026</w:t>
      </w:r>
    </w:p>
    <w:p>
      <w:pPr>
        <w:pStyle w:val="ListBullet"/>
        <w:spacing w:after="20"/>
      </w:pPr>
      <w:r>
        <w:rPr>
          <w:rFonts w:ascii="Calibri" w:hAnsi="Calibri"/>
          <w:b w:val="0"/>
          <w:i w:val="0"/>
          <w:color w:val="222222"/>
          <w:sz w:val="20"/>
        </w:rPr>
        <w:t>Legal / Business Name: FAIRBANKS MEDICAL CENTRE LIMITED</w:t>
      </w:r>
    </w:p>
    <w:p>
      <w:pPr>
        <w:pStyle w:val="ListBullet"/>
        <w:spacing w:after="20"/>
      </w:pPr>
      <w:r>
        <w:rPr>
          <w:rFonts w:ascii="Calibri" w:hAnsi="Calibri"/>
          <w:b w:val="0"/>
          <w:i w:val="0"/>
          <w:color w:val="222222"/>
          <w:sz w:val="20"/>
        </w:rPr>
        <w:t>Nature of Business: Human health and social work activities (ISIC Section Q)</w:t>
      </w:r>
    </w:p>
    <w:p>
      <w:pPr>
        <w:pStyle w:val="ListBullet"/>
        <w:spacing w:after="20"/>
      </w:pPr>
      <w:r>
        <w:rPr>
          <w:rFonts w:ascii="Calibri" w:hAnsi="Calibri"/>
          <w:b w:val="0"/>
          <w:i w:val="0"/>
          <w:color w:val="222222"/>
          <w:sz w:val="20"/>
        </w:rPr>
        <w:t>Registration effective: 01 May 2025 · Accounting date: 30 June · Notice date: 02 July 2026</w:t>
      </w:r>
    </w:p>
    <w:p>
      <w:pPr>
        <w:pStyle w:val="ListBullet"/>
        <w:spacing w:after="20"/>
      </w:pPr>
      <w:r>
        <w:rPr>
          <w:rFonts w:ascii="Calibri" w:hAnsi="Calibri"/>
          <w:b w:val="0"/>
          <w:i w:val="0"/>
          <w:color w:val="222222"/>
          <w:sz w:val="20"/>
        </w:rPr>
        <w:t>Principal place of business: Plot 1423 and 1425, Tirupati Road, Fairbanks Medical Centre, Lugogo, Kololo IV, Kampala Central Division, Kampala, Uganda</w:t>
      </w:r>
    </w:p>
    <w:p>
      <w:pPr>
        <w:spacing w:before="140" w:after="60"/>
      </w:pPr>
      <w:r>
        <w:rPr>
          <w:rFonts w:ascii="Calibri" w:hAnsi="Calibri"/>
          <w:b/>
          <w:i w:val="0"/>
          <w:color w:val="1A3A5C"/>
          <w:sz w:val="22"/>
        </w:rPr>
        <w:t>Document architecture</w:t>
      </w:r>
    </w:p>
    <w:p>
      <w:pPr>
        <w:pStyle w:val="ListBullet"/>
        <w:spacing w:after="20"/>
      </w:pPr>
      <w:r>
        <w:rPr>
          <w:rFonts w:ascii="Calibri" w:hAnsi="Calibri"/>
          <w:b w:val="0"/>
          <w:i w:val="0"/>
          <w:color w:val="222222"/>
          <w:sz w:val="20"/>
        </w:rPr>
        <w:t>Blueprint = Strategy</w:t>
      </w:r>
    </w:p>
    <w:p>
      <w:pPr>
        <w:pStyle w:val="ListBullet"/>
        <w:spacing w:after="20"/>
      </w:pPr>
      <w:r>
        <w:rPr>
          <w:rFonts w:ascii="Calibri" w:hAnsi="Calibri"/>
          <w:b w:val="0"/>
          <w:i w:val="0"/>
          <w:color w:val="222222"/>
          <w:sz w:val="20"/>
        </w:rPr>
        <w:t>Handbook = Operating System (this book)</w:t>
      </w:r>
    </w:p>
    <w:p>
      <w:pPr>
        <w:pStyle w:val="ListBullet"/>
        <w:spacing w:after="20"/>
      </w:pPr>
      <w:r>
        <w:rPr>
          <w:rFonts w:ascii="Calibri" w:hAnsi="Calibri"/>
          <w:b w:val="0"/>
          <w:i w:val="0"/>
          <w:color w:val="222222"/>
          <w:sz w:val="20"/>
        </w:rPr>
        <w:t>Management Toolkit = Working templates and forms (companion file)</w:t>
      </w:r>
    </w:p>
    <w:p>
      <w:pPr>
        <w:pStyle w:val="ListBullet"/>
        <w:spacing w:after="20"/>
      </w:pPr>
      <w:r>
        <w:rPr>
          <w:rFonts w:ascii="Calibri" w:hAnsi="Calibri"/>
          <w:b w:val="0"/>
          <w:i w:val="0"/>
          <w:color w:val="222222"/>
          <w:sz w:val="20"/>
        </w:rPr>
        <w:t>SOPs = Detailed procedures (separate manuals)</w:t>
      </w:r>
    </w:p>
    <w:p>
      <w:pPr>
        <w:pStyle w:val="ListBullet"/>
        <w:spacing w:after="20"/>
      </w:pPr>
      <w:r>
        <w:rPr>
          <w:rFonts w:ascii="Calibri" w:hAnsi="Calibri"/>
          <w:b w:val="0"/>
          <w:i w:val="0"/>
          <w:color w:val="222222"/>
          <w:sz w:val="20"/>
        </w:rPr>
        <w:t>Handbook v1.0.0 = Compact executive operating guide (kept)</w:t>
      </w:r>
    </w:p>
    <w:p>
      <w:pPr>
        <w:spacing w:after="120" w:before="80" w:line="259" w:lineRule="auto"/>
        <w:jc w:val="center"/>
      </w:pPr>
      <w:r>
        <w:rPr>
          <w:rFonts w:ascii="Calibri" w:hAnsi="Calibri"/>
          <w:b w:val="0"/>
          <w:i/>
          <w:color w:val="222222"/>
          <w:sz w:val="22"/>
        </w:rPr>
        <w:t>Strategy lives in the Blueprint. Execution lives in this Handbook.</w:t>
      </w:r>
    </w:p>
    <w:p>
      <w:pPr>
        <w:spacing w:before="240" w:after="100"/>
      </w:pPr>
      <w:r>
        <w:rPr>
          <w:rFonts w:ascii="Calibri" w:hAnsi="Calibri"/>
          <w:b/>
          <w:i w:val="0"/>
          <w:color w:val="1A3A5C"/>
          <w:sz w:val="26"/>
        </w:rPr>
        <w:t>Table of Contents</w:t>
      </w:r>
    </w:p>
    <w:p>
      <w:pPr>
        <w:spacing w:after="40" w:before="0" w:line="259" w:lineRule="auto"/>
        <w:jc w:val="left"/>
      </w:pPr>
      <w:r>
        <w:rPr>
          <w:rFonts w:ascii="Calibri" w:hAnsi="Calibri"/>
          <w:b/>
          <w:i w:val="0"/>
          <w:color w:val="222222"/>
          <w:sz w:val="20"/>
        </w:rPr>
        <w:t>PART I — Understanding the FairBanks Way</w:t>
      </w:r>
    </w:p>
    <w:p>
      <w:pPr>
        <w:spacing w:after="20" w:before="0" w:line="259" w:lineRule="auto"/>
        <w:jc w:val="left"/>
      </w:pPr>
      <w:r>
        <w:rPr>
          <w:rFonts w:ascii="Calibri" w:hAnsi="Calibri"/>
          <w:b w:val="0"/>
          <w:i w:val="0"/>
          <w:color w:val="222222"/>
          <w:sz w:val="20"/>
        </w:rPr>
        <w:t>1. Purpose and Use of the Handbook</w:t>
      </w:r>
    </w:p>
    <w:p>
      <w:pPr>
        <w:spacing w:after="20" w:before="0" w:line="259" w:lineRule="auto"/>
        <w:jc w:val="left"/>
      </w:pPr>
      <w:r>
        <w:rPr>
          <w:rFonts w:ascii="Calibri" w:hAnsi="Calibri"/>
          <w:b w:val="0"/>
          <w:i w:val="0"/>
          <w:color w:val="222222"/>
          <w:sz w:val="20"/>
        </w:rPr>
        <w:t>2. Institutional Transformation at a Glance</w:t>
      </w:r>
    </w:p>
    <w:p>
      <w:pPr>
        <w:spacing w:after="40" w:before="0" w:line="259" w:lineRule="auto"/>
        <w:jc w:val="left"/>
      </w:pPr>
      <w:r>
        <w:rPr>
          <w:rFonts w:ascii="Calibri" w:hAnsi="Calibri"/>
          <w:b/>
          <w:i w:val="0"/>
          <w:color w:val="222222"/>
          <w:sz w:val="20"/>
        </w:rPr>
        <w:t>PART II — The FairBanks Operating System</w:t>
      </w:r>
    </w:p>
    <w:p>
      <w:pPr>
        <w:spacing w:after="20" w:before="0" w:line="259" w:lineRule="auto"/>
        <w:jc w:val="left"/>
      </w:pPr>
      <w:r>
        <w:rPr>
          <w:rFonts w:ascii="Calibri" w:hAnsi="Calibri"/>
          <w:b w:val="0"/>
          <w:i w:val="0"/>
          <w:color w:val="222222"/>
          <w:sz w:val="20"/>
        </w:rPr>
        <w:t>3. Operating Model (Strategy-to-Execution Cycle)</w:t>
      </w:r>
    </w:p>
    <w:p>
      <w:pPr>
        <w:spacing w:after="20" w:before="0" w:line="259" w:lineRule="auto"/>
        <w:jc w:val="left"/>
      </w:pPr>
      <w:r>
        <w:rPr>
          <w:rFonts w:ascii="Calibri" w:hAnsi="Calibri"/>
          <w:b w:val="0"/>
          <w:i w:val="0"/>
          <w:color w:val="222222"/>
          <w:sz w:val="20"/>
        </w:rPr>
        <w:t>4. Roles and Accountability (RACI)</w:t>
      </w:r>
    </w:p>
    <w:p>
      <w:pPr>
        <w:spacing w:after="40" w:before="0" w:line="259" w:lineRule="auto"/>
        <w:jc w:val="left"/>
      </w:pPr>
      <w:r>
        <w:rPr>
          <w:rFonts w:ascii="Calibri" w:hAnsi="Calibri"/>
          <w:b/>
          <w:i w:val="0"/>
          <w:color w:val="222222"/>
          <w:sz w:val="20"/>
        </w:rPr>
        <w:t>PART III — Five-Stage Transformation Playbook</w:t>
      </w:r>
    </w:p>
    <w:p>
      <w:pPr>
        <w:spacing w:after="20" w:before="0" w:line="259" w:lineRule="auto"/>
        <w:jc w:val="left"/>
      </w:pPr>
      <w:r>
        <w:rPr>
          <w:rFonts w:ascii="Calibri" w:hAnsi="Calibri"/>
          <w:b w:val="0"/>
          <w:i w:val="0"/>
          <w:color w:val="222222"/>
          <w:sz w:val="20"/>
        </w:rPr>
        <w:t>5. Journey Overview and Principles</w:t>
      </w:r>
    </w:p>
    <w:p>
      <w:pPr>
        <w:spacing w:after="20" w:before="0" w:line="259" w:lineRule="auto"/>
        <w:jc w:val="left"/>
      </w:pPr>
      <w:r>
        <w:rPr>
          <w:rFonts w:ascii="Calibri" w:hAnsi="Calibri"/>
          <w:b w:val="0"/>
          <w:i w:val="0"/>
          <w:color w:val="222222"/>
          <w:sz w:val="20"/>
        </w:rPr>
        <w:t>6–10. Stage Playbooks (Foundation → Sustainability)</w:t>
      </w:r>
    </w:p>
    <w:p>
      <w:pPr>
        <w:spacing w:after="20" w:before="0" w:line="259" w:lineRule="auto"/>
        <w:jc w:val="left"/>
      </w:pPr>
      <w:r>
        <w:rPr>
          <w:rFonts w:ascii="Calibri" w:hAnsi="Calibri"/>
          <w:b w:val="0"/>
          <w:i w:val="0"/>
          <w:color w:val="222222"/>
          <w:sz w:val="20"/>
        </w:rPr>
        <w:t>11. Transformation Gates and Interpretation Criteria</w:t>
      </w:r>
    </w:p>
    <w:p>
      <w:pPr>
        <w:spacing w:after="40" w:before="0" w:line="259" w:lineRule="auto"/>
        <w:jc w:val="left"/>
      </w:pPr>
      <w:r>
        <w:rPr>
          <w:rFonts w:ascii="Calibri" w:hAnsi="Calibri"/>
          <w:b/>
          <w:i w:val="0"/>
          <w:color w:val="222222"/>
          <w:sz w:val="20"/>
        </w:rPr>
        <w:t>PART IV — Management Rhythm</w:t>
      </w:r>
    </w:p>
    <w:p>
      <w:pPr>
        <w:spacing w:after="20" w:before="0" w:line="259" w:lineRule="auto"/>
        <w:jc w:val="left"/>
      </w:pPr>
      <w:r>
        <w:rPr>
          <w:rFonts w:ascii="Calibri" w:hAnsi="Calibri"/>
          <w:b w:val="0"/>
          <w:i w:val="0"/>
          <w:color w:val="222222"/>
          <w:sz w:val="20"/>
        </w:rPr>
        <w:t>12–15. Annual, Monthly, Quarterly and Annual Review</w:t>
      </w:r>
    </w:p>
    <w:p>
      <w:pPr>
        <w:spacing w:after="40" w:before="0" w:line="259" w:lineRule="auto"/>
        <w:jc w:val="left"/>
      </w:pPr>
      <w:r>
        <w:rPr>
          <w:rFonts w:ascii="Calibri" w:hAnsi="Calibri"/>
          <w:b/>
          <w:i w:val="0"/>
          <w:color w:val="222222"/>
          <w:sz w:val="20"/>
        </w:rPr>
        <w:t>PART V — Performance and Learning</w:t>
      </w:r>
    </w:p>
    <w:p>
      <w:pPr>
        <w:spacing w:after="20" w:before="0" w:line="259" w:lineRule="auto"/>
        <w:jc w:val="left"/>
      </w:pPr>
      <w:r>
        <w:rPr>
          <w:rFonts w:ascii="Calibri" w:hAnsi="Calibri"/>
          <w:b w:val="0"/>
          <w:i w:val="0"/>
          <w:color w:val="222222"/>
          <w:sz w:val="20"/>
        </w:rPr>
        <w:t>16–19. MEL, FMM, Risk, Learning</w:t>
      </w:r>
    </w:p>
    <w:p>
      <w:pPr>
        <w:spacing w:after="20" w:before="0" w:line="259" w:lineRule="auto"/>
        <w:jc w:val="left"/>
      </w:pPr>
      <w:r>
        <w:rPr>
          <w:rFonts w:ascii="Calibri" w:hAnsi="Calibri"/>
          <w:b w:val="0"/>
          <w:i w:val="0"/>
          <w:color w:val="222222"/>
          <w:sz w:val="20"/>
        </w:rPr>
        <w:t>19A. Evidence Standards</w:t>
      </w:r>
    </w:p>
    <w:p>
      <w:pPr>
        <w:spacing w:after="40" w:before="0" w:line="259" w:lineRule="auto"/>
        <w:jc w:val="left"/>
      </w:pPr>
      <w:r>
        <w:rPr>
          <w:rFonts w:ascii="Calibri" w:hAnsi="Calibri"/>
          <w:b/>
          <w:i w:val="0"/>
          <w:color w:val="222222"/>
          <w:sz w:val="20"/>
        </w:rPr>
        <w:t>PART VI — Functional Implementation</w:t>
      </w:r>
    </w:p>
    <w:p>
      <w:pPr>
        <w:spacing w:after="20" w:before="0" w:line="259" w:lineRule="auto"/>
        <w:jc w:val="left"/>
      </w:pPr>
      <w:r>
        <w:rPr>
          <w:rFonts w:ascii="Calibri" w:hAnsi="Calibri"/>
          <w:b w:val="0"/>
          <w:i w:val="0"/>
          <w:color w:val="222222"/>
          <w:sz w:val="20"/>
        </w:rPr>
        <w:t>20–31. Department sheets</w:t>
      </w:r>
    </w:p>
    <w:p>
      <w:pPr>
        <w:spacing w:after="40" w:before="0" w:line="259" w:lineRule="auto"/>
        <w:jc w:val="left"/>
      </w:pPr>
      <w:r>
        <w:rPr>
          <w:rFonts w:ascii="Calibri" w:hAnsi="Calibri"/>
          <w:b/>
          <w:i w:val="0"/>
          <w:color w:val="222222"/>
          <w:sz w:val="20"/>
        </w:rPr>
        <w:t>PART VII — Culture and Stewardship</w:t>
      </w:r>
    </w:p>
    <w:p>
      <w:pPr>
        <w:spacing w:after="20" w:before="0" w:line="259" w:lineRule="auto"/>
        <w:jc w:val="left"/>
      </w:pPr>
      <w:r>
        <w:rPr>
          <w:rFonts w:ascii="Calibri" w:hAnsi="Calibri"/>
          <w:b w:val="0"/>
          <w:i w:val="0"/>
          <w:color w:val="222222"/>
          <w:sz w:val="20"/>
        </w:rPr>
        <w:t>32–35. Culture, Covenant, Leadership, Stewardship</w:t>
      </w:r>
    </w:p>
    <w:p>
      <w:pPr>
        <w:spacing w:after="40" w:before="0" w:line="259" w:lineRule="auto"/>
        <w:jc w:val="left"/>
      </w:pPr>
      <w:r>
        <w:rPr>
          <w:rFonts w:ascii="Calibri" w:hAnsi="Calibri"/>
          <w:b/>
          <w:i w:val="0"/>
          <w:color w:val="222222"/>
          <w:sz w:val="20"/>
        </w:rPr>
        <w:t>PART VIII — Toolkit Pointer and Quick Reference</w:t>
      </w:r>
    </w:p>
    <w:p>
      <w:pPr>
        <w:spacing w:after="20" w:before="0" w:line="259" w:lineRule="auto"/>
        <w:jc w:val="left"/>
      </w:pPr>
      <w:r>
        <w:rPr>
          <w:rFonts w:ascii="Calibri" w:hAnsi="Calibri"/>
          <w:b w:val="0"/>
          <w:i w:val="0"/>
          <w:color w:val="222222"/>
          <w:sz w:val="20"/>
        </w:rPr>
        <w:t>36–42. Toolkit index, 90 Days, escalation, terminology, closing rule</w:t>
      </w:r>
    </w:p>
    <w:p>
      <w:pPr>
        <w:pageBreakBefore/>
        <w:spacing w:after="160"/>
        <w:jc w:val="center"/>
      </w:pPr>
      <w:r>
        <w:rPr>
          <w:rFonts w:ascii="Calibri" w:hAnsi="Calibri"/>
          <w:b/>
          <w:i w:val="0"/>
          <w:color w:val="1A3A5C"/>
          <w:sz w:val="28"/>
        </w:rPr>
        <w:t>PART I — UNDERSTANDING THE FAIRBANKS WAY</w:t>
      </w:r>
    </w:p>
    <w:p>
      <w:pPr>
        <w:spacing w:before="240" w:after="100"/>
      </w:pPr>
      <w:r>
        <w:rPr>
          <w:rFonts w:ascii="Calibri" w:hAnsi="Calibri"/>
          <w:b/>
          <w:i w:val="0"/>
          <w:color w:val="1A3A5C"/>
          <w:sz w:val="26"/>
        </w:rPr>
        <w:t>1. Purpose and Use of the Handbook</w:t>
      </w:r>
    </w:p>
    <w:p>
      <w:pPr>
        <w:spacing w:after="80" w:before="0" w:line="259" w:lineRule="auto"/>
        <w:jc w:val="both"/>
      </w:pPr>
      <w:r>
        <w:rPr>
          <w:rFonts w:ascii="Calibri" w:hAnsi="Calibri"/>
          <w:b w:val="0"/>
          <w:i w:val="0"/>
          <w:color w:val="222222"/>
          <w:sz w:val="22"/>
        </w:rPr>
        <w:t>This Handbook is FairBanks' institutional operating system for the 2027–2032 strategic horizon. It shows managers, supervisors and teams who does what, when it happens, what evidence is required, and what to do when performance is off-track.</w:t>
      </w:r>
    </w:p>
    <w:p>
      <w:pPr>
        <w:spacing w:before="140" w:after="60"/>
      </w:pPr>
      <w:r>
        <w:rPr>
          <w:rFonts w:ascii="Calibri" w:hAnsi="Calibri"/>
          <w:b/>
          <w:i w:val="0"/>
          <w:color w:val="1A3A5C"/>
          <w:sz w:val="22"/>
        </w:rPr>
        <w:t>What it is / is not</w:t>
      </w:r>
    </w:p>
    <w:p>
      <w:pPr>
        <w:pStyle w:val="ListBullet"/>
        <w:spacing w:after="20"/>
      </w:pPr>
      <w:r>
        <w:rPr>
          <w:rFonts w:ascii="Calibri" w:hAnsi="Calibri"/>
          <w:b w:val="0"/>
          <w:i w:val="0"/>
          <w:color w:val="222222"/>
          <w:sz w:val="20"/>
        </w:rPr>
        <w:t>Is: operating system for transformation management</w:t>
      </w:r>
    </w:p>
    <w:p>
      <w:pPr>
        <w:pStyle w:val="ListBullet"/>
        <w:spacing w:after="20"/>
      </w:pPr>
      <w:r>
        <w:rPr>
          <w:rFonts w:ascii="Calibri" w:hAnsi="Calibri"/>
          <w:b w:val="0"/>
          <w:i w:val="0"/>
          <w:color w:val="222222"/>
          <w:sz w:val="20"/>
        </w:rPr>
        <w:t>Is not: a second Blueprint; not SOPs; not a marketing brochure</w:t>
      </w:r>
    </w:p>
    <w:p>
      <w:pPr>
        <w:pStyle w:val="ListBullet"/>
        <w:spacing w:after="20"/>
      </w:pPr>
      <w:r>
        <w:rPr>
          <w:rFonts w:ascii="Calibri" w:hAnsi="Calibri"/>
          <w:b w:val="0"/>
          <w:i w:val="0"/>
          <w:color w:val="222222"/>
          <w:sz w:val="20"/>
        </w:rPr>
        <w:t>Does not replace Manifesto, Declaration or Covenant</w:t>
      </w:r>
    </w:p>
    <w:p>
      <w:pPr>
        <w:pStyle w:val="ListBullet"/>
        <w:spacing w:after="20"/>
      </w:pPr>
      <w:r>
        <w:rPr>
          <w:rFonts w:ascii="Calibri" w:hAnsi="Calibri"/>
          <w:b w:val="0"/>
          <w:i w:val="0"/>
          <w:color w:val="222222"/>
          <w:sz w:val="20"/>
        </w:rPr>
        <w:t>Does not invent parallel frameworks</w:t>
      </w:r>
    </w:p>
    <w:p>
      <w:pPr>
        <w:spacing w:before="140" w:after="60"/>
      </w:pPr>
      <w:r>
        <w:rPr>
          <w:rFonts w:ascii="Calibri" w:hAnsi="Calibri"/>
          <w:b/>
          <w:i w:val="0"/>
          <w:color w:val="1A3A5C"/>
          <w:sz w:val="22"/>
        </w:rPr>
        <w:t>Who uses it / when</w:t>
      </w:r>
    </w:p>
    <w:p>
      <w:pPr>
        <w:pStyle w:val="ListBullet"/>
        <w:spacing w:after="20"/>
      </w:pPr>
      <w:r>
        <w:rPr>
          <w:rFonts w:ascii="Calibri" w:hAnsi="Calibri"/>
          <w:b w:val="0"/>
          <w:i w:val="0"/>
          <w:color w:val="222222"/>
          <w:sz w:val="20"/>
        </w:rPr>
        <w:t>Board — Gate decisions, oversight, stewardship</w:t>
      </w:r>
    </w:p>
    <w:p>
      <w:pPr>
        <w:pStyle w:val="ListBullet"/>
        <w:spacing w:after="20"/>
      </w:pPr>
      <w:r>
        <w:rPr>
          <w:rFonts w:ascii="Calibri" w:hAnsi="Calibri"/>
          <w:b w:val="0"/>
          <w:i w:val="0"/>
          <w:color w:val="222222"/>
          <w:sz w:val="20"/>
        </w:rPr>
        <w:t>MD / Executive — annual plans, stage control</w:t>
      </w:r>
    </w:p>
    <w:p>
      <w:pPr>
        <w:pStyle w:val="ListBullet"/>
        <w:spacing w:after="20"/>
      </w:pPr>
      <w:r>
        <w:rPr>
          <w:rFonts w:ascii="Calibri" w:hAnsi="Calibri"/>
          <w:b w:val="0"/>
          <w:i w:val="0"/>
          <w:color w:val="222222"/>
          <w:sz w:val="20"/>
        </w:rPr>
        <w:t>Directors / Heads — departmental plans, KPIs, corrective action</w:t>
      </w:r>
    </w:p>
    <w:p>
      <w:pPr>
        <w:pStyle w:val="ListBullet"/>
        <w:spacing w:after="20"/>
      </w:pPr>
      <w:r>
        <w:rPr>
          <w:rFonts w:ascii="Calibri" w:hAnsi="Calibri"/>
          <w:b w:val="0"/>
          <w:i w:val="0"/>
          <w:color w:val="222222"/>
          <w:sz w:val="20"/>
        </w:rPr>
        <w:t>Managers / teams — weekly and monthly delivery</w:t>
      </w:r>
    </w:p>
    <w:p>
      <w:pPr>
        <w:pStyle w:val="ListBullet"/>
        <w:spacing w:after="20"/>
      </w:pPr>
      <w:r>
        <w:rPr>
          <w:rFonts w:ascii="Calibri" w:hAnsi="Calibri"/>
          <w:b w:val="0"/>
          <w:i w:val="0"/>
          <w:color w:val="222222"/>
          <w:sz w:val="20"/>
        </w:rPr>
        <w:t>Use at planning, monthly reviews, quarterly reviews, Gates, onboarding, and when terminology drifts</w:t>
      </w:r>
    </w:p>
    <w:p>
      <w:pPr>
        <w:spacing w:before="240" w:after="100"/>
      </w:pPr>
      <w:r>
        <w:rPr>
          <w:rFonts w:ascii="Calibri" w:hAnsi="Calibri"/>
          <w:b/>
          <w:i w:val="0"/>
          <w:color w:val="1A3A5C"/>
          <w:sz w:val="26"/>
        </w:rPr>
        <w:t>2. Institutional Transformation at a Glance</w:t>
      </w:r>
    </w:p>
    <w:p>
      <w:pPr>
        <w:pStyle w:val="ListBullet"/>
        <w:spacing w:after="20"/>
      </w:pPr>
      <w:r>
        <w:rPr>
          <w:rFonts w:ascii="Calibri" w:hAnsi="Calibri"/>
          <w:b w:val="0"/>
          <w:i w:val="0"/>
          <w:color w:val="222222"/>
          <w:sz w:val="20"/>
        </w:rPr>
        <w:t>Identity: Family &amp; Community Health Social Enterprise</w:t>
      </w:r>
    </w:p>
    <w:p>
      <w:pPr>
        <w:pStyle w:val="ListBullet"/>
        <w:spacing w:after="20"/>
      </w:pPr>
      <w:r>
        <w:rPr>
          <w:rFonts w:ascii="Calibri" w:hAnsi="Calibri"/>
          <w:b w:val="0"/>
          <w:i w:val="0"/>
          <w:color w:val="222222"/>
          <w:sz w:val="20"/>
        </w:rPr>
        <w:t>Horizon: 2027–2032</w:t>
      </w:r>
    </w:p>
    <w:p>
      <w:pPr>
        <w:pStyle w:val="ListBullet"/>
        <w:spacing w:after="20"/>
      </w:pPr>
      <w:r>
        <w:rPr>
          <w:rFonts w:ascii="Calibri" w:hAnsi="Calibri"/>
          <w:b w:val="0"/>
          <w:i w:val="0"/>
          <w:color w:val="222222"/>
          <w:sz w:val="20"/>
        </w:rPr>
        <w:t>Seven priorities: Clinical Excellence; Family &amp; Community Health; Digital; Research &amp; Innovation; Partnerships; Sustainable Financing; Institutional Excellence</w:t>
      </w:r>
    </w:p>
    <w:p>
      <w:pPr>
        <w:pStyle w:val="ListBullet"/>
        <w:spacing w:after="20"/>
      </w:pPr>
      <w:r>
        <w:rPr>
          <w:rFonts w:ascii="Calibri" w:hAnsi="Calibri"/>
          <w:b w:val="0"/>
          <w:i w:val="0"/>
          <w:color w:val="222222"/>
          <w:sz w:val="20"/>
        </w:rPr>
        <w:t>Six frameworks: FIHE, FITF, F7TM, FMM, FCHIP, CHIP (+ supporting instruments via FIMS)</w:t>
      </w:r>
    </w:p>
    <w:p>
      <w:pPr>
        <w:spacing w:before="140" w:after="60"/>
      </w:pPr>
      <w:r>
        <w:rPr>
          <w:rFonts w:ascii="Calibri" w:hAnsi="Calibri"/>
          <w:b/>
          <w:i w:val="0"/>
          <w:color w:val="1A3A5C"/>
          <w:sz w:val="22"/>
        </w:rPr>
        <w:t>Locked hierarchy</w:t>
      </w:r>
    </w:p>
    <w:p>
      <w:pPr>
        <w:spacing w:after="80" w:before="0" w:line="259" w:lineRule="auto"/>
        <w:jc w:val="both"/>
      </w:pPr>
      <w:r>
        <w:rPr>
          <w:rFonts w:ascii="Calibri" w:hAnsi="Calibri"/>
          <w:b w:val="0"/>
          <w:i w:val="0"/>
          <w:color w:val="222222"/>
          <w:sz w:val="22"/>
        </w:rPr>
        <w:t>Purpose → Vision/Mission → Seven Strategic Priorities → Six Core Frameworks → Supporting Instruments → FIMS → Five-Stage Transformation Roadmap → Governance/Financing/Partnerships/MEL/Risk/Investment → Manifesto/Declaration/Covenant</w:t>
      </w:r>
    </w:p>
    <w:p>
      <w:pPr>
        <w:spacing w:before="140" w:after="60"/>
      </w:pPr>
      <w:r>
        <w:rPr>
          <w:rFonts w:ascii="Calibri" w:hAnsi="Calibri"/>
          <w:b/>
          <w:i w:val="0"/>
          <w:color w:val="1A3A5C"/>
          <w:sz w:val="22"/>
        </w:rPr>
        <w:t>How the system works</w:t>
      </w:r>
    </w:p>
    <w:p>
      <w:pPr>
        <w:spacing w:after="20" w:before="0" w:line="259" w:lineRule="auto"/>
        <w:jc w:val="left"/>
      </w:pPr>
      <w:r>
        <w:rPr>
          <w:rFonts w:ascii="Calibri" w:hAnsi="Calibri"/>
          <w:b w:val="0"/>
          <w:i w:val="0"/>
          <w:color w:val="222222"/>
          <w:sz w:val="20"/>
        </w:rPr>
        <w:t>→ BOARD — sets direction, approves Gates, protects stewardship</w:t>
      </w:r>
    </w:p>
    <w:p>
      <w:pPr>
        <w:spacing w:after="20" w:before="0" w:line="259" w:lineRule="auto"/>
        <w:jc w:val="left"/>
      </w:pPr>
      <w:r>
        <w:rPr>
          <w:rFonts w:ascii="Calibri" w:hAnsi="Calibri"/>
          <w:b w:val="0"/>
          <w:i w:val="0"/>
          <w:color w:val="222222"/>
          <w:sz w:val="20"/>
        </w:rPr>
        <w:t>→ EXECUTIVE LEADERSHIP — annual plans and stage ownership</w:t>
      </w:r>
    </w:p>
    <w:p>
      <w:pPr>
        <w:spacing w:after="20" w:before="0" w:line="259" w:lineRule="auto"/>
        <w:jc w:val="left"/>
      </w:pPr>
      <w:r>
        <w:rPr>
          <w:rFonts w:ascii="Calibri" w:hAnsi="Calibri"/>
          <w:b w:val="0"/>
          <w:i w:val="0"/>
          <w:color w:val="222222"/>
          <w:sz w:val="20"/>
        </w:rPr>
        <w:t>→ FIMS — integrates frameworks and instruments</w:t>
      </w:r>
    </w:p>
    <w:p>
      <w:pPr>
        <w:spacing w:after="20" w:before="0" w:line="259" w:lineRule="auto"/>
        <w:jc w:val="left"/>
      </w:pPr>
      <w:r>
        <w:rPr>
          <w:rFonts w:ascii="Calibri" w:hAnsi="Calibri"/>
          <w:b w:val="0"/>
          <w:i w:val="0"/>
          <w:color w:val="222222"/>
          <w:sz w:val="20"/>
        </w:rPr>
        <w:t>→ STRATEGIC PRIORITIES — focus effort</w:t>
      </w:r>
    </w:p>
    <w:p>
      <w:pPr>
        <w:spacing w:after="20" w:before="0" w:line="259" w:lineRule="auto"/>
        <w:jc w:val="left"/>
      </w:pPr>
      <w:r>
        <w:rPr>
          <w:rFonts w:ascii="Calibri" w:hAnsi="Calibri"/>
          <w:b w:val="0"/>
          <w:i w:val="0"/>
          <w:color w:val="222222"/>
          <w:sz w:val="20"/>
        </w:rPr>
        <w:t>→ DEPARTMENTS / PROGRAMMES — deliver services and projects</w:t>
      </w:r>
    </w:p>
    <w:p>
      <w:pPr>
        <w:spacing w:after="20" w:before="0" w:line="259" w:lineRule="auto"/>
        <w:jc w:val="left"/>
      </w:pPr>
      <w:r>
        <w:rPr>
          <w:rFonts w:ascii="Calibri" w:hAnsi="Calibri"/>
          <w:b w:val="0"/>
          <w:i w:val="0"/>
          <w:color w:val="222222"/>
          <w:sz w:val="20"/>
        </w:rPr>
        <w:t>→ PROJECTS &amp; DAILY OPERATIONS — care, outreach, finance, admin</w:t>
      </w:r>
    </w:p>
    <w:p>
      <w:pPr>
        <w:spacing w:after="20" w:before="0" w:line="259" w:lineRule="auto"/>
        <w:jc w:val="left"/>
      </w:pPr>
      <w:r>
        <w:rPr>
          <w:rFonts w:ascii="Calibri" w:hAnsi="Calibri"/>
          <w:b w:val="0"/>
          <w:i w:val="0"/>
          <w:color w:val="222222"/>
          <w:sz w:val="20"/>
        </w:rPr>
        <w:t>→ MEL + LEARNING — measure, review, improve</w:t>
      </w:r>
    </w:p>
    <w:p>
      <w:pPr>
        <w:spacing w:after="20" w:before="0" w:line="259" w:lineRule="auto"/>
        <w:jc w:val="left"/>
      </w:pPr>
      <w:r>
        <w:rPr>
          <w:rFonts w:ascii="Calibri" w:hAnsi="Calibri"/>
          <w:b w:val="0"/>
          <w:i w:val="0"/>
          <w:color w:val="222222"/>
          <w:sz w:val="20"/>
        </w:rPr>
        <w:t>→ TRANSFORMATION GATE — evidence-based progression</w:t>
      </w:r>
    </w:p>
    <w:p>
      <w:pPr>
        <w:spacing w:after="20" w:before="0" w:line="259" w:lineRule="auto"/>
        <w:jc w:val="left"/>
      </w:pPr>
      <w:r>
        <w:rPr>
          <w:rFonts w:ascii="Calibri" w:hAnsi="Calibri"/>
          <w:b w:val="0"/>
          <w:i w:val="0"/>
          <w:color w:val="222222"/>
          <w:sz w:val="20"/>
        </w:rPr>
        <w:t>→ NEXT STAGE — capability-driven advance</w:t>
      </w:r>
    </w:p>
    <w:p>
      <w:pPr>
        <w:pageBreakBefore/>
        <w:spacing w:after="160"/>
        <w:jc w:val="center"/>
      </w:pPr>
      <w:r>
        <w:rPr>
          <w:rFonts w:ascii="Calibri" w:hAnsi="Calibri"/>
          <w:b/>
          <w:i w:val="0"/>
          <w:color w:val="1A3A5C"/>
          <w:sz w:val="28"/>
        </w:rPr>
        <w:t>PART II — THE FAIRBANKS OPERATING SYSTEM</w:t>
      </w:r>
    </w:p>
    <w:p>
      <w:pPr>
        <w:spacing w:before="240" w:after="100"/>
      </w:pPr>
      <w:r>
        <w:rPr>
          <w:rFonts w:ascii="Calibri" w:hAnsi="Calibri"/>
          <w:b/>
          <w:i w:val="0"/>
          <w:color w:val="1A3A5C"/>
          <w:sz w:val="26"/>
        </w:rPr>
        <w:t>3. Operating Model</w:t>
      </w:r>
    </w:p>
    <w:p>
      <w:pPr>
        <w:spacing w:after="120" w:before="80" w:line="259" w:lineRule="auto"/>
        <w:jc w:val="center"/>
      </w:pPr>
      <w:r>
        <w:rPr>
          <w:rFonts w:ascii="Calibri" w:hAnsi="Calibri"/>
          <w:b w:val="0"/>
          <w:i/>
          <w:color w:val="222222"/>
          <w:sz w:val="22"/>
        </w:rPr>
        <w:t>Reporting without correction is not transformation.</w:t>
      </w:r>
    </w:p>
    <w:tbl>
      <w:tblPr>
        <w:tblStyle w:val="TableGrid"/>
        <w:tblW w:type="auto" w:w="0"/>
        <w:tblLook w:firstColumn="1" w:firstRow="1" w:lastColumn="0" w:lastRow="0" w:noHBand="0" w:noVBand="1" w:val="04A0"/>
      </w:tblPr>
      <w:tblGrid>
        <w:gridCol w:w="4896"/>
        <w:gridCol w:w="4896"/>
      </w:tblGrid>
      <w:tr>
        <w:tc>
          <w:tcPr>
            <w:tcW w:type="dxa" w:w="4896"/>
            <w:shd w:fill="1A3A5C" w:val="clear"/>
          </w:tcPr>
          <w:p>
            <w:r/>
            <w:r>
              <w:rPr>
                <w:rFonts w:ascii="Calibri" w:hAnsi="Calibri"/>
                <w:b/>
                <w:i w:val="0"/>
                <w:color w:val="FFFFFF"/>
                <w:sz w:val="18"/>
              </w:rPr>
              <w:t>Step</w:t>
            </w:r>
          </w:p>
        </w:tc>
        <w:tc>
          <w:tcPr>
            <w:tcW w:type="dxa" w:w="4896"/>
            <w:shd w:fill="1A3A5C" w:val="clear"/>
          </w:tcPr>
          <w:p>
            <w:r/>
            <w:r>
              <w:rPr>
                <w:rFonts w:ascii="Calibri" w:hAnsi="Calibri"/>
                <w:b/>
                <w:i w:val="0"/>
                <w:color w:val="FFFFFF"/>
                <w:sz w:val="18"/>
              </w:rPr>
              <w:t>Question</w:t>
            </w:r>
          </w:p>
        </w:tc>
      </w:tr>
      <w:tr>
        <w:tc>
          <w:tcPr>
            <w:tcW w:type="dxa" w:w="4896"/>
          </w:tcPr>
          <w:p>
            <w:r/>
            <w:r>
              <w:rPr>
                <w:rFonts w:ascii="Calibri" w:hAnsi="Calibri"/>
                <w:b w:val="0"/>
                <w:i w:val="0"/>
                <w:color w:val="222222"/>
                <w:sz w:val="18"/>
              </w:rPr>
              <w:t>Strategy</w:t>
            </w:r>
          </w:p>
        </w:tc>
        <w:tc>
          <w:tcPr>
            <w:tcW w:type="dxa" w:w="4896"/>
          </w:tcPr>
          <w:p>
            <w:r/>
            <w:r>
              <w:rPr>
                <w:rFonts w:ascii="Calibri" w:hAnsi="Calibri"/>
                <w:b w:val="0"/>
                <w:i w:val="0"/>
                <w:color w:val="222222"/>
                <w:sz w:val="18"/>
              </w:rPr>
              <w:t>What are we trying to achieve? (Blueprint)</w:t>
            </w:r>
          </w:p>
        </w:tc>
      </w:tr>
      <w:tr>
        <w:tc>
          <w:tcPr>
            <w:tcW w:type="dxa" w:w="4896"/>
          </w:tcPr>
          <w:p>
            <w:r/>
            <w:r>
              <w:rPr>
                <w:rFonts w:ascii="Calibri" w:hAnsi="Calibri"/>
                <w:b w:val="0"/>
                <w:i w:val="0"/>
                <w:color w:val="222222"/>
                <w:sz w:val="18"/>
              </w:rPr>
              <w:t>Annual Plan</w:t>
            </w:r>
          </w:p>
        </w:tc>
        <w:tc>
          <w:tcPr>
            <w:tcW w:type="dxa" w:w="4896"/>
          </w:tcPr>
          <w:p>
            <w:r/>
            <w:r>
              <w:rPr>
                <w:rFonts w:ascii="Calibri" w:hAnsi="Calibri"/>
                <w:b w:val="0"/>
                <w:i w:val="0"/>
                <w:color w:val="222222"/>
                <w:sz w:val="18"/>
              </w:rPr>
              <w:t>What must happen this year?</w:t>
            </w:r>
          </w:p>
        </w:tc>
      </w:tr>
      <w:tr>
        <w:tc>
          <w:tcPr>
            <w:tcW w:type="dxa" w:w="4896"/>
          </w:tcPr>
          <w:p>
            <w:r/>
            <w:r>
              <w:rPr>
                <w:rFonts w:ascii="Calibri" w:hAnsi="Calibri"/>
                <w:b w:val="0"/>
                <w:i w:val="0"/>
                <w:color w:val="222222"/>
                <w:sz w:val="18"/>
              </w:rPr>
              <w:t>Department Plan</w:t>
            </w:r>
          </w:p>
        </w:tc>
        <w:tc>
          <w:tcPr>
            <w:tcW w:type="dxa" w:w="4896"/>
          </w:tcPr>
          <w:p>
            <w:r/>
            <w:r>
              <w:rPr>
                <w:rFonts w:ascii="Calibri" w:hAnsi="Calibri"/>
                <w:b w:val="0"/>
                <w:i w:val="0"/>
                <w:color w:val="222222"/>
                <w:sz w:val="18"/>
              </w:rPr>
              <w:t>What must my department deliver?</w:t>
            </w:r>
          </w:p>
        </w:tc>
      </w:tr>
      <w:tr>
        <w:tc>
          <w:tcPr>
            <w:tcW w:type="dxa" w:w="4896"/>
          </w:tcPr>
          <w:p>
            <w:r/>
            <w:r>
              <w:rPr>
                <w:rFonts w:ascii="Calibri" w:hAnsi="Calibri"/>
                <w:b w:val="0"/>
                <w:i w:val="0"/>
                <w:color w:val="222222"/>
                <w:sz w:val="18"/>
              </w:rPr>
              <w:t>Individual Responsibilities</w:t>
            </w:r>
          </w:p>
        </w:tc>
        <w:tc>
          <w:tcPr>
            <w:tcW w:type="dxa" w:w="4896"/>
          </w:tcPr>
          <w:p>
            <w:r/>
            <w:r>
              <w:rPr>
                <w:rFonts w:ascii="Calibri" w:hAnsi="Calibri"/>
                <w:b w:val="0"/>
                <w:i w:val="0"/>
                <w:color w:val="222222"/>
                <w:sz w:val="18"/>
              </w:rPr>
              <w:t>What am I accountable for?</w:t>
            </w:r>
          </w:p>
        </w:tc>
      </w:tr>
      <w:tr>
        <w:tc>
          <w:tcPr>
            <w:tcW w:type="dxa" w:w="4896"/>
          </w:tcPr>
          <w:p>
            <w:r/>
            <w:r>
              <w:rPr>
                <w:rFonts w:ascii="Calibri" w:hAnsi="Calibri"/>
                <w:b w:val="0"/>
                <w:i w:val="0"/>
                <w:color w:val="222222"/>
                <w:sz w:val="18"/>
              </w:rPr>
              <w:t>KPI</w:t>
            </w:r>
          </w:p>
        </w:tc>
        <w:tc>
          <w:tcPr>
            <w:tcW w:type="dxa" w:w="4896"/>
          </w:tcPr>
          <w:p>
            <w:r/>
            <w:r>
              <w:rPr>
                <w:rFonts w:ascii="Calibri" w:hAnsi="Calibri"/>
                <w:b w:val="0"/>
                <w:i w:val="0"/>
                <w:color w:val="222222"/>
                <w:sz w:val="18"/>
              </w:rPr>
              <w:t>How will we know?</w:t>
            </w:r>
          </w:p>
        </w:tc>
      </w:tr>
      <w:tr>
        <w:tc>
          <w:tcPr>
            <w:tcW w:type="dxa" w:w="4896"/>
          </w:tcPr>
          <w:p>
            <w:r/>
            <w:r>
              <w:rPr>
                <w:rFonts w:ascii="Calibri" w:hAnsi="Calibri"/>
                <w:b w:val="0"/>
                <w:i w:val="0"/>
                <w:color w:val="222222"/>
                <w:sz w:val="18"/>
              </w:rPr>
              <w:t>Review</w:t>
            </w:r>
          </w:p>
        </w:tc>
        <w:tc>
          <w:tcPr>
            <w:tcW w:type="dxa" w:w="4896"/>
          </w:tcPr>
          <w:p>
            <w:r/>
            <w:r>
              <w:rPr>
                <w:rFonts w:ascii="Calibri" w:hAnsi="Calibri"/>
                <w:b w:val="0"/>
                <w:i w:val="0"/>
                <w:color w:val="222222"/>
                <w:sz w:val="18"/>
              </w:rPr>
              <w:t>Are we on track?</w:t>
            </w:r>
          </w:p>
        </w:tc>
      </w:tr>
      <w:tr>
        <w:tc>
          <w:tcPr>
            <w:tcW w:type="dxa" w:w="4896"/>
          </w:tcPr>
          <w:p>
            <w:r/>
            <w:r>
              <w:rPr>
                <w:rFonts w:ascii="Calibri" w:hAnsi="Calibri"/>
                <w:b w:val="0"/>
                <w:i w:val="0"/>
                <w:color w:val="222222"/>
                <w:sz w:val="18"/>
              </w:rPr>
              <w:t>Corrective Action</w:t>
            </w:r>
          </w:p>
        </w:tc>
        <w:tc>
          <w:tcPr>
            <w:tcW w:type="dxa" w:w="4896"/>
          </w:tcPr>
          <w:p>
            <w:r/>
            <w:r>
              <w:rPr>
                <w:rFonts w:ascii="Calibri" w:hAnsi="Calibri"/>
                <w:b w:val="0"/>
                <w:i w:val="0"/>
                <w:color w:val="222222"/>
                <w:sz w:val="18"/>
              </w:rPr>
              <w:t>What must change?</w:t>
            </w:r>
          </w:p>
        </w:tc>
      </w:tr>
      <w:tr>
        <w:tc>
          <w:tcPr>
            <w:tcW w:type="dxa" w:w="4896"/>
          </w:tcPr>
          <w:p>
            <w:r/>
            <w:r>
              <w:rPr>
                <w:rFonts w:ascii="Calibri" w:hAnsi="Calibri"/>
                <w:b w:val="0"/>
                <w:i w:val="0"/>
                <w:color w:val="222222"/>
                <w:sz w:val="18"/>
              </w:rPr>
              <w:t>Learning</w:t>
            </w:r>
          </w:p>
        </w:tc>
        <w:tc>
          <w:tcPr>
            <w:tcW w:type="dxa" w:w="4896"/>
          </w:tcPr>
          <w:p>
            <w:r/>
            <w:r>
              <w:rPr>
                <w:rFonts w:ascii="Calibri" w:hAnsi="Calibri"/>
                <w:b w:val="0"/>
                <w:i w:val="0"/>
                <w:color w:val="222222"/>
                <w:sz w:val="18"/>
              </w:rPr>
              <w:t>What did we learn?</w:t>
            </w:r>
          </w:p>
        </w:tc>
      </w:tr>
    </w:tbl>
    <w:p/>
    <w:p>
      <w:pPr>
        <w:spacing w:before="240" w:after="100"/>
      </w:pPr>
      <w:r>
        <w:rPr>
          <w:rFonts w:ascii="Calibri" w:hAnsi="Calibri"/>
          <w:b/>
          <w:i w:val="0"/>
          <w:color w:val="1A3A5C"/>
          <w:sz w:val="26"/>
        </w:rPr>
        <w:t>4. Roles and Accountability (RACI)</w:t>
      </w:r>
    </w:p>
    <w:p>
      <w:pPr>
        <w:spacing w:after="80" w:before="0" w:line="259" w:lineRule="auto"/>
        <w:jc w:val="left"/>
      </w:pPr>
      <w:r>
        <w:rPr>
          <w:rFonts w:ascii="Calibri" w:hAnsi="Calibri"/>
          <w:b w:val="0"/>
          <w:i w:val="0"/>
          <w:color w:val="222222"/>
          <w:sz w:val="22"/>
        </w:rPr>
        <w:t>R = Responsible · A = Accountable · C = Consulted · I = Informed. Clarify if two people are marked A.</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shd w:fill="1A3A5C" w:val="clear"/>
          </w:tcPr>
          <w:p>
            <w:r/>
            <w:r>
              <w:rPr>
                <w:rFonts w:ascii="Calibri" w:hAnsi="Calibri"/>
                <w:b/>
                <w:i w:val="0"/>
                <w:color w:val="FFFFFF"/>
                <w:sz w:val="18"/>
              </w:rPr>
              <w:t>Activity</w:t>
            </w:r>
          </w:p>
        </w:tc>
        <w:tc>
          <w:tcPr>
            <w:tcW w:type="dxa" w:w="1632"/>
            <w:shd w:fill="1A3A5C" w:val="clear"/>
          </w:tcPr>
          <w:p>
            <w:r/>
            <w:r>
              <w:rPr>
                <w:rFonts w:ascii="Calibri" w:hAnsi="Calibri"/>
                <w:b/>
                <w:i w:val="0"/>
                <w:color w:val="FFFFFF"/>
                <w:sz w:val="18"/>
              </w:rPr>
              <w:t>Board</w:t>
            </w:r>
          </w:p>
        </w:tc>
        <w:tc>
          <w:tcPr>
            <w:tcW w:type="dxa" w:w="1632"/>
            <w:shd w:fill="1A3A5C" w:val="clear"/>
          </w:tcPr>
          <w:p>
            <w:r/>
            <w:r>
              <w:rPr>
                <w:rFonts w:ascii="Calibri" w:hAnsi="Calibri"/>
                <w:b/>
                <w:i w:val="0"/>
                <w:color w:val="FFFFFF"/>
                <w:sz w:val="18"/>
              </w:rPr>
              <w:t>MD</w:t>
            </w:r>
          </w:p>
        </w:tc>
        <w:tc>
          <w:tcPr>
            <w:tcW w:type="dxa" w:w="1632"/>
            <w:shd w:fill="1A3A5C" w:val="clear"/>
          </w:tcPr>
          <w:p>
            <w:r/>
            <w:r>
              <w:rPr>
                <w:rFonts w:ascii="Calibri" w:hAnsi="Calibri"/>
                <w:b/>
                <w:i w:val="0"/>
                <w:color w:val="FFFFFF"/>
                <w:sz w:val="18"/>
              </w:rPr>
              <w:t>Director</w:t>
            </w:r>
          </w:p>
        </w:tc>
        <w:tc>
          <w:tcPr>
            <w:tcW w:type="dxa" w:w="1632"/>
            <w:shd w:fill="1A3A5C" w:val="clear"/>
          </w:tcPr>
          <w:p>
            <w:r/>
            <w:r>
              <w:rPr>
                <w:rFonts w:ascii="Calibri" w:hAnsi="Calibri"/>
                <w:b/>
                <w:i w:val="0"/>
                <w:color w:val="FFFFFF"/>
                <w:sz w:val="18"/>
              </w:rPr>
              <w:t>Manager</w:t>
            </w:r>
          </w:p>
        </w:tc>
        <w:tc>
          <w:tcPr>
            <w:tcW w:type="dxa" w:w="1632"/>
            <w:shd w:fill="1A3A5C" w:val="clear"/>
          </w:tcPr>
          <w:p>
            <w:r/>
            <w:r>
              <w:rPr>
                <w:rFonts w:ascii="Calibri" w:hAnsi="Calibri"/>
                <w:b/>
                <w:i w:val="0"/>
                <w:color w:val="FFFFFF"/>
                <w:sz w:val="18"/>
              </w:rPr>
              <w:t>Staff</w:t>
            </w:r>
          </w:p>
        </w:tc>
      </w:tr>
      <w:tr>
        <w:tc>
          <w:tcPr>
            <w:tcW w:type="dxa" w:w="1632"/>
          </w:tcPr>
          <w:p>
            <w:r/>
            <w:r>
              <w:rPr>
                <w:rFonts w:ascii="Calibri" w:hAnsi="Calibri"/>
                <w:b w:val="0"/>
                <w:i w:val="0"/>
                <w:color w:val="222222"/>
                <w:sz w:val="18"/>
              </w:rPr>
              <w:t>Strategic planning</w:t>
            </w:r>
          </w:p>
        </w:tc>
        <w:tc>
          <w:tcPr>
            <w:tcW w:type="dxa" w:w="1632"/>
          </w:tcPr>
          <w:p>
            <w:r/>
            <w:r>
              <w:rPr>
                <w:rFonts w:ascii="Calibri" w:hAnsi="Calibri"/>
                <w:b w:val="0"/>
                <w:i w:val="0"/>
                <w:color w:val="222222"/>
                <w:sz w:val="18"/>
              </w:rPr>
              <w:t>A</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C</w:t>
            </w:r>
          </w:p>
        </w:tc>
        <w:tc>
          <w:tcPr>
            <w:tcW w:type="dxa" w:w="1632"/>
          </w:tcPr>
          <w:p>
            <w:r/>
            <w:r>
              <w:rPr>
                <w:rFonts w:ascii="Calibri" w:hAnsi="Calibri"/>
                <w:b w:val="0"/>
                <w:i w:val="0"/>
                <w:color w:val="222222"/>
                <w:sz w:val="18"/>
              </w:rPr>
              <w:t>C</w:t>
            </w:r>
          </w:p>
        </w:tc>
        <w:tc>
          <w:tcPr>
            <w:tcW w:type="dxa" w:w="1632"/>
          </w:tcPr>
          <w:p>
            <w:r/>
            <w:r>
              <w:rPr>
                <w:rFonts w:ascii="Calibri" w:hAnsi="Calibri"/>
                <w:b w:val="0"/>
                <w:i w:val="0"/>
                <w:color w:val="222222"/>
                <w:sz w:val="18"/>
              </w:rPr>
              <w:t>I</w:t>
            </w:r>
          </w:p>
        </w:tc>
      </w:tr>
      <w:tr>
        <w:tc>
          <w:tcPr>
            <w:tcW w:type="dxa" w:w="1632"/>
          </w:tcPr>
          <w:p>
            <w:r/>
            <w:r>
              <w:rPr>
                <w:rFonts w:ascii="Calibri" w:hAnsi="Calibri"/>
                <w:b w:val="0"/>
                <w:i w:val="0"/>
                <w:color w:val="222222"/>
                <w:sz w:val="18"/>
              </w:rPr>
              <w:t>Annual work plans</w:t>
            </w:r>
          </w:p>
        </w:tc>
        <w:tc>
          <w:tcPr>
            <w:tcW w:type="dxa" w:w="1632"/>
          </w:tcPr>
          <w:p>
            <w:r/>
            <w:r>
              <w:rPr>
                <w:rFonts w:ascii="Calibri" w:hAnsi="Calibri"/>
                <w:b w:val="0"/>
                <w:i w:val="0"/>
                <w:color w:val="222222"/>
                <w:sz w:val="18"/>
              </w:rPr>
              <w:t>I</w:t>
            </w:r>
          </w:p>
        </w:tc>
        <w:tc>
          <w:tcPr>
            <w:tcW w:type="dxa" w:w="1632"/>
          </w:tcPr>
          <w:p>
            <w:r/>
            <w:r>
              <w:rPr>
                <w:rFonts w:ascii="Calibri" w:hAnsi="Calibri"/>
                <w:b w:val="0"/>
                <w:i w:val="0"/>
                <w:color w:val="222222"/>
                <w:sz w:val="18"/>
              </w:rPr>
              <w:t>A</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C</w:t>
            </w:r>
          </w:p>
        </w:tc>
      </w:tr>
      <w:tr>
        <w:tc>
          <w:tcPr>
            <w:tcW w:type="dxa" w:w="1632"/>
          </w:tcPr>
          <w:p>
            <w:r/>
            <w:r>
              <w:rPr>
                <w:rFonts w:ascii="Calibri" w:hAnsi="Calibri"/>
                <w:b w:val="0"/>
                <w:i w:val="0"/>
                <w:color w:val="222222"/>
                <w:sz w:val="18"/>
              </w:rPr>
              <w:t>KPI monitoring</w:t>
            </w:r>
          </w:p>
        </w:tc>
        <w:tc>
          <w:tcPr>
            <w:tcW w:type="dxa" w:w="1632"/>
          </w:tcPr>
          <w:p>
            <w:r/>
            <w:r>
              <w:rPr>
                <w:rFonts w:ascii="Calibri" w:hAnsi="Calibri"/>
                <w:b w:val="0"/>
                <w:i w:val="0"/>
                <w:color w:val="222222"/>
                <w:sz w:val="18"/>
              </w:rPr>
              <w:t>I</w:t>
            </w:r>
          </w:p>
        </w:tc>
        <w:tc>
          <w:tcPr>
            <w:tcW w:type="dxa" w:w="1632"/>
          </w:tcPr>
          <w:p>
            <w:r/>
            <w:r>
              <w:rPr>
                <w:rFonts w:ascii="Calibri" w:hAnsi="Calibri"/>
                <w:b w:val="0"/>
                <w:i w:val="0"/>
                <w:color w:val="222222"/>
                <w:sz w:val="18"/>
              </w:rPr>
              <w:t>A</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C</w:t>
            </w:r>
          </w:p>
        </w:tc>
      </w:tr>
      <w:tr>
        <w:tc>
          <w:tcPr>
            <w:tcW w:type="dxa" w:w="1632"/>
          </w:tcPr>
          <w:p>
            <w:r/>
            <w:r>
              <w:rPr>
                <w:rFonts w:ascii="Calibri" w:hAnsi="Calibri"/>
                <w:b w:val="0"/>
                <w:i w:val="0"/>
                <w:color w:val="222222"/>
                <w:sz w:val="18"/>
              </w:rPr>
              <w:t>Risk management</w:t>
            </w:r>
          </w:p>
        </w:tc>
        <w:tc>
          <w:tcPr>
            <w:tcW w:type="dxa" w:w="1632"/>
          </w:tcPr>
          <w:p>
            <w:r/>
            <w:r>
              <w:rPr>
                <w:rFonts w:ascii="Calibri" w:hAnsi="Calibri"/>
                <w:b w:val="0"/>
                <w:i w:val="0"/>
                <w:color w:val="222222"/>
                <w:sz w:val="18"/>
              </w:rPr>
              <w:t>A</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C</w:t>
            </w:r>
          </w:p>
        </w:tc>
      </w:tr>
      <w:tr>
        <w:tc>
          <w:tcPr>
            <w:tcW w:type="dxa" w:w="1632"/>
          </w:tcPr>
          <w:p>
            <w:r/>
            <w:r>
              <w:rPr>
                <w:rFonts w:ascii="Calibri" w:hAnsi="Calibri"/>
                <w:b w:val="0"/>
                <w:i w:val="0"/>
                <w:color w:val="222222"/>
                <w:sz w:val="18"/>
              </w:rPr>
              <w:t>Transformation Gate</w:t>
            </w:r>
          </w:p>
        </w:tc>
        <w:tc>
          <w:tcPr>
            <w:tcW w:type="dxa" w:w="1632"/>
          </w:tcPr>
          <w:p>
            <w:r/>
            <w:r>
              <w:rPr>
                <w:rFonts w:ascii="Calibri" w:hAnsi="Calibri"/>
                <w:b w:val="0"/>
                <w:i w:val="0"/>
                <w:color w:val="222222"/>
                <w:sz w:val="18"/>
              </w:rPr>
              <w:t>A</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C</w:t>
            </w:r>
          </w:p>
        </w:tc>
        <w:tc>
          <w:tcPr>
            <w:tcW w:type="dxa" w:w="1632"/>
          </w:tcPr>
          <w:p>
            <w:r/>
            <w:r>
              <w:rPr>
                <w:rFonts w:ascii="Calibri" w:hAnsi="Calibri"/>
                <w:b w:val="0"/>
                <w:i w:val="0"/>
                <w:color w:val="222222"/>
                <w:sz w:val="18"/>
              </w:rPr>
              <w:t>I</w:t>
            </w:r>
          </w:p>
        </w:tc>
        <w:tc>
          <w:tcPr>
            <w:tcW w:type="dxa" w:w="1632"/>
          </w:tcPr>
          <w:p>
            <w:r/>
            <w:r>
              <w:rPr>
                <w:rFonts w:ascii="Calibri" w:hAnsi="Calibri"/>
                <w:b w:val="0"/>
                <w:i w:val="0"/>
                <w:color w:val="222222"/>
                <w:sz w:val="18"/>
              </w:rPr>
              <w:t>I</w:t>
            </w:r>
          </w:p>
        </w:tc>
      </w:tr>
      <w:tr>
        <w:tc>
          <w:tcPr>
            <w:tcW w:type="dxa" w:w="1632"/>
          </w:tcPr>
          <w:p>
            <w:r/>
            <w:r>
              <w:rPr>
                <w:rFonts w:ascii="Calibri" w:hAnsi="Calibri"/>
                <w:b w:val="0"/>
                <w:i w:val="0"/>
                <w:color w:val="222222"/>
                <w:sz w:val="18"/>
              </w:rPr>
              <w:t>Clinical quality &amp; safety</w:t>
            </w:r>
          </w:p>
        </w:tc>
        <w:tc>
          <w:tcPr>
            <w:tcW w:type="dxa" w:w="1632"/>
          </w:tcPr>
          <w:p>
            <w:r/>
            <w:r>
              <w:rPr>
                <w:rFonts w:ascii="Calibri" w:hAnsi="Calibri"/>
                <w:b w:val="0"/>
                <w:i w:val="0"/>
                <w:color w:val="222222"/>
                <w:sz w:val="18"/>
              </w:rPr>
              <w:t>A</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R</w:t>
            </w:r>
          </w:p>
        </w:tc>
      </w:tr>
      <w:tr>
        <w:tc>
          <w:tcPr>
            <w:tcW w:type="dxa" w:w="1632"/>
          </w:tcPr>
          <w:p>
            <w:r/>
            <w:r>
              <w:rPr>
                <w:rFonts w:ascii="Calibri" w:hAnsi="Calibri"/>
                <w:b w:val="0"/>
                <w:i w:val="0"/>
                <w:color w:val="222222"/>
                <w:sz w:val="18"/>
              </w:rPr>
              <w:t>Community programmes</w:t>
            </w:r>
          </w:p>
        </w:tc>
        <w:tc>
          <w:tcPr>
            <w:tcW w:type="dxa" w:w="1632"/>
          </w:tcPr>
          <w:p>
            <w:r/>
            <w:r>
              <w:rPr>
                <w:rFonts w:ascii="Calibri" w:hAnsi="Calibri"/>
                <w:b w:val="0"/>
                <w:i w:val="0"/>
                <w:color w:val="222222"/>
                <w:sz w:val="18"/>
              </w:rPr>
              <w:t>I</w:t>
            </w:r>
          </w:p>
        </w:tc>
        <w:tc>
          <w:tcPr>
            <w:tcW w:type="dxa" w:w="1632"/>
          </w:tcPr>
          <w:p>
            <w:r/>
            <w:r>
              <w:rPr>
                <w:rFonts w:ascii="Calibri" w:hAnsi="Calibri"/>
                <w:b w:val="0"/>
                <w:i w:val="0"/>
                <w:color w:val="222222"/>
                <w:sz w:val="18"/>
              </w:rPr>
              <w:t>A</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R</w:t>
            </w:r>
          </w:p>
        </w:tc>
      </w:tr>
      <w:tr>
        <w:tc>
          <w:tcPr>
            <w:tcW w:type="dxa" w:w="1632"/>
          </w:tcPr>
          <w:p>
            <w:r/>
            <w:r>
              <w:rPr>
                <w:rFonts w:ascii="Calibri" w:hAnsi="Calibri"/>
                <w:b w:val="0"/>
                <w:i w:val="0"/>
                <w:color w:val="222222"/>
                <w:sz w:val="18"/>
              </w:rPr>
              <w:t>Partnership agreements</w:t>
            </w:r>
          </w:p>
        </w:tc>
        <w:tc>
          <w:tcPr>
            <w:tcW w:type="dxa" w:w="1632"/>
          </w:tcPr>
          <w:p>
            <w:r/>
            <w:r>
              <w:rPr>
                <w:rFonts w:ascii="Calibri" w:hAnsi="Calibri"/>
                <w:b w:val="0"/>
                <w:i w:val="0"/>
                <w:color w:val="222222"/>
                <w:sz w:val="18"/>
              </w:rPr>
              <w:t>A</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C</w:t>
            </w:r>
          </w:p>
        </w:tc>
        <w:tc>
          <w:tcPr>
            <w:tcW w:type="dxa" w:w="1632"/>
          </w:tcPr>
          <w:p>
            <w:r/>
            <w:r>
              <w:rPr>
                <w:rFonts w:ascii="Calibri" w:hAnsi="Calibri"/>
                <w:b w:val="0"/>
                <w:i w:val="0"/>
                <w:color w:val="222222"/>
                <w:sz w:val="18"/>
              </w:rPr>
              <w:t>I</w:t>
            </w:r>
          </w:p>
        </w:tc>
      </w:tr>
      <w:tr>
        <w:tc>
          <w:tcPr>
            <w:tcW w:type="dxa" w:w="1632"/>
          </w:tcPr>
          <w:p>
            <w:r/>
            <w:r>
              <w:rPr>
                <w:rFonts w:ascii="Calibri" w:hAnsi="Calibri"/>
                <w:b w:val="0"/>
                <w:i w:val="0"/>
                <w:color w:val="222222"/>
                <w:sz w:val="18"/>
              </w:rPr>
              <w:t>Budget &amp; cash control</w:t>
            </w:r>
          </w:p>
        </w:tc>
        <w:tc>
          <w:tcPr>
            <w:tcW w:type="dxa" w:w="1632"/>
          </w:tcPr>
          <w:p>
            <w:r/>
            <w:r>
              <w:rPr>
                <w:rFonts w:ascii="Calibri" w:hAnsi="Calibri"/>
                <w:b w:val="0"/>
                <w:i w:val="0"/>
                <w:color w:val="222222"/>
                <w:sz w:val="18"/>
              </w:rPr>
              <w:t>A</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C</w:t>
            </w:r>
          </w:p>
        </w:tc>
        <w:tc>
          <w:tcPr>
            <w:tcW w:type="dxa" w:w="1632"/>
          </w:tcPr>
          <w:p>
            <w:r/>
            <w:r>
              <w:rPr>
                <w:rFonts w:ascii="Calibri" w:hAnsi="Calibri"/>
                <w:b w:val="0"/>
                <w:i w:val="0"/>
                <w:color w:val="222222"/>
                <w:sz w:val="18"/>
              </w:rPr>
              <w:t>I</w:t>
            </w:r>
          </w:p>
        </w:tc>
      </w:tr>
      <w:tr>
        <w:tc>
          <w:tcPr>
            <w:tcW w:type="dxa" w:w="1632"/>
          </w:tcPr>
          <w:p>
            <w:r/>
            <w:r>
              <w:rPr>
                <w:rFonts w:ascii="Calibri" w:hAnsi="Calibri"/>
                <w:b w:val="0"/>
                <w:i w:val="0"/>
                <w:color w:val="222222"/>
                <w:sz w:val="18"/>
              </w:rPr>
              <w:t>FCHIP / data quality</w:t>
            </w:r>
          </w:p>
        </w:tc>
        <w:tc>
          <w:tcPr>
            <w:tcW w:type="dxa" w:w="1632"/>
          </w:tcPr>
          <w:p>
            <w:r/>
            <w:r>
              <w:rPr>
                <w:rFonts w:ascii="Calibri" w:hAnsi="Calibri"/>
                <w:b w:val="0"/>
                <w:i w:val="0"/>
                <w:color w:val="222222"/>
                <w:sz w:val="18"/>
              </w:rPr>
              <w:t>I</w:t>
            </w:r>
          </w:p>
        </w:tc>
        <w:tc>
          <w:tcPr>
            <w:tcW w:type="dxa" w:w="1632"/>
          </w:tcPr>
          <w:p>
            <w:r/>
            <w:r>
              <w:rPr>
                <w:rFonts w:ascii="Calibri" w:hAnsi="Calibri"/>
                <w:b w:val="0"/>
                <w:i w:val="0"/>
                <w:color w:val="222222"/>
                <w:sz w:val="18"/>
              </w:rPr>
              <w:t>A</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R</w:t>
            </w:r>
          </w:p>
        </w:tc>
      </w:tr>
      <w:tr>
        <w:tc>
          <w:tcPr>
            <w:tcW w:type="dxa" w:w="1632"/>
          </w:tcPr>
          <w:p>
            <w:r/>
            <w:r>
              <w:rPr>
                <w:rFonts w:ascii="Calibri" w:hAnsi="Calibri"/>
                <w:b w:val="0"/>
                <w:i w:val="0"/>
                <w:color w:val="222222"/>
                <w:sz w:val="18"/>
              </w:rPr>
              <w:t>MEL dashboards</w:t>
            </w:r>
          </w:p>
        </w:tc>
        <w:tc>
          <w:tcPr>
            <w:tcW w:type="dxa" w:w="1632"/>
          </w:tcPr>
          <w:p>
            <w:r/>
            <w:r>
              <w:rPr>
                <w:rFonts w:ascii="Calibri" w:hAnsi="Calibri"/>
                <w:b w:val="0"/>
                <w:i w:val="0"/>
                <w:color w:val="222222"/>
                <w:sz w:val="18"/>
              </w:rPr>
              <w:t>I</w:t>
            </w:r>
          </w:p>
        </w:tc>
        <w:tc>
          <w:tcPr>
            <w:tcW w:type="dxa" w:w="1632"/>
          </w:tcPr>
          <w:p>
            <w:r/>
            <w:r>
              <w:rPr>
                <w:rFonts w:ascii="Calibri" w:hAnsi="Calibri"/>
                <w:b w:val="0"/>
                <w:i w:val="0"/>
                <w:color w:val="222222"/>
                <w:sz w:val="18"/>
              </w:rPr>
              <w:t>A</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C</w:t>
            </w:r>
          </w:p>
        </w:tc>
      </w:tr>
      <w:tr>
        <w:tc>
          <w:tcPr>
            <w:tcW w:type="dxa" w:w="1632"/>
          </w:tcPr>
          <w:p>
            <w:r/>
            <w:r>
              <w:rPr>
                <w:rFonts w:ascii="Calibri" w:hAnsi="Calibri"/>
                <w:b w:val="0"/>
                <w:i w:val="0"/>
                <w:color w:val="222222"/>
                <w:sz w:val="18"/>
              </w:rPr>
              <w:t>Covenant behaviours</w:t>
            </w:r>
          </w:p>
        </w:tc>
        <w:tc>
          <w:tcPr>
            <w:tcW w:type="dxa" w:w="1632"/>
          </w:tcPr>
          <w:p>
            <w:r/>
            <w:r>
              <w:rPr>
                <w:rFonts w:ascii="Calibri" w:hAnsi="Calibri"/>
                <w:b w:val="0"/>
                <w:i w:val="0"/>
                <w:color w:val="222222"/>
                <w:sz w:val="18"/>
              </w:rPr>
              <w:t>A</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R</w:t>
            </w:r>
          </w:p>
        </w:tc>
        <w:tc>
          <w:tcPr>
            <w:tcW w:type="dxa" w:w="1632"/>
          </w:tcPr>
          <w:p>
            <w:r/>
            <w:r>
              <w:rPr>
                <w:rFonts w:ascii="Calibri" w:hAnsi="Calibri"/>
                <w:b w:val="0"/>
                <w:i w:val="0"/>
                <w:color w:val="222222"/>
                <w:sz w:val="18"/>
              </w:rPr>
              <w:t>R</w:t>
            </w:r>
          </w:p>
        </w:tc>
      </w:tr>
    </w:tbl>
    <w:p/>
    <w:p>
      <w:pPr>
        <w:pageBreakBefore/>
        <w:spacing w:after="160"/>
        <w:jc w:val="center"/>
      </w:pPr>
      <w:r>
        <w:rPr>
          <w:rFonts w:ascii="Calibri" w:hAnsi="Calibri"/>
          <w:b/>
          <w:i w:val="0"/>
          <w:color w:val="1A3A5C"/>
          <w:sz w:val="28"/>
        </w:rPr>
        <w:t>PART III — FIVE-STAGE TRANSFORMATION PLAYBOOK</w:t>
      </w:r>
    </w:p>
    <w:p>
      <w:pPr>
        <w:spacing w:before="240" w:after="100"/>
      </w:pPr>
      <w:r>
        <w:rPr>
          <w:rFonts w:ascii="Calibri" w:hAnsi="Calibri"/>
          <w:b/>
          <w:i w:val="0"/>
          <w:color w:val="1A3A5C"/>
          <w:sz w:val="26"/>
        </w:rPr>
        <w:t>5. Journey Overview and Principles</w:t>
      </w:r>
    </w:p>
    <w:p>
      <w:pPr>
        <w:spacing w:after="120" w:before="80" w:line="259" w:lineRule="auto"/>
        <w:jc w:val="center"/>
      </w:pPr>
      <w:r>
        <w:rPr>
          <w:rFonts w:ascii="Calibri" w:hAnsi="Calibri"/>
          <w:b w:val="0"/>
          <w:i/>
          <w:color w:val="222222"/>
          <w:sz w:val="22"/>
        </w:rPr>
        <w:t>The roadmap is time-bound, but transformation is capability-driven.</w:t>
      </w:r>
    </w:p>
    <w:tbl>
      <w:tblPr>
        <w:tblStyle w:val="TableGrid"/>
        <w:tblW w:type="auto" w:w="0"/>
        <w:tblLook w:firstColumn="1" w:firstRow="1" w:lastColumn="0" w:lastRow="0" w:noHBand="0" w:noVBand="1" w:val="04A0"/>
      </w:tblPr>
      <w:tblGrid>
        <w:gridCol w:w="3264"/>
        <w:gridCol w:w="3264"/>
        <w:gridCol w:w="3264"/>
      </w:tblGrid>
      <w:tr>
        <w:tc>
          <w:tcPr>
            <w:tcW w:type="dxa" w:w="3264"/>
            <w:shd w:fill="1A3A5C" w:val="clear"/>
          </w:tcPr>
          <w:p>
            <w:r/>
            <w:r>
              <w:rPr>
                <w:rFonts w:ascii="Calibri" w:hAnsi="Calibri"/>
                <w:b/>
                <w:i w:val="0"/>
                <w:color w:val="FFFFFF"/>
                <w:sz w:val="18"/>
              </w:rPr>
              <w:t>Period</w:t>
            </w:r>
          </w:p>
        </w:tc>
        <w:tc>
          <w:tcPr>
            <w:tcW w:type="dxa" w:w="3264"/>
            <w:shd w:fill="1A3A5C" w:val="clear"/>
          </w:tcPr>
          <w:p>
            <w:r/>
            <w:r>
              <w:rPr>
                <w:rFonts w:ascii="Calibri" w:hAnsi="Calibri"/>
                <w:b/>
                <w:i w:val="0"/>
                <w:color w:val="FFFFFF"/>
                <w:sz w:val="18"/>
              </w:rPr>
              <w:t>Stage</w:t>
            </w:r>
          </w:p>
        </w:tc>
        <w:tc>
          <w:tcPr>
            <w:tcW w:type="dxa" w:w="3264"/>
            <w:shd w:fill="1A3A5C" w:val="clear"/>
          </w:tcPr>
          <w:p>
            <w:r/>
            <w:r>
              <w:rPr>
                <w:rFonts w:ascii="Calibri" w:hAnsi="Calibri"/>
                <w:b/>
                <w:i w:val="0"/>
                <w:color w:val="FFFFFF"/>
                <w:sz w:val="18"/>
              </w:rPr>
              <w:t>Emphasis</w:t>
            </w:r>
          </w:p>
        </w:tc>
      </w:tr>
      <w:tr>
        <w:tc>
          <w:tcPr>
            <w:tcW w:type="dxa" w:w="3264"/>
          </w:tcPr>
          <w:p>
            <w:r/>
            <w:r>
              <w:rPr>
                <w:rFonts w:ascii="Calibri" w:hAnsi="Calibri"/>
                <w:b w:val="0"/>
                <w:i w:val="0"/>
                <w:color w:val="222222"/>
                <w:sz w:val="18"/>
              </w:rPr>
              <w:t>2027</w:t>
            </w:r>
          </w:p>
        </w:tc>
        <w:tc>
          <w:tcPr>
            <w:tcW w:type="dxa" w:w="3264"/>
          </w:tcPr>
          <w:p>
            <w:r/>
            <w:r>
              <w:rPr>
                <w:rFonts w:ascii="Calibri" w:hAnsi="Calibri"/>
                <w:b w:val="0"/>
                <w:i w:val="0"/>
                <w:color w:val="222222"/>
                <w:sz w:val="18"/>
              </w:rPr>
              <w:t>Foundation</w:t>
            </w:r>
          </w:p>
        </w:tc>
        <w:tc>
          <w:tcPr>
            <w:tcW w:type="dxa" w:w="3264"/>
          </w:tcPr>
          <w:p>
            <w:r/>
            <w:r>
              <w:rPr>
                <w:rFonts w:ascii="Calibri" w:hAnsi="Calibri"/>
                <w:b w:val="0"/>
                <w:i w:val="0"/>
                <w:color w:val="222222"/>
                <w:sz w:val="18"/>
              </w:rPr>
              <w:t>Build before scaling</w:t>
            </w:r>
          </w:p>
        </w:tc>
      </w:tr>
      <w:tr>
        <w:tc>
          <w:tcPr>
            <w:tcW w:type="dxa" w:w="3264"/>
          </w:tcPr>
          <w:p>
            <w:r/>
            <w:r>
              <w:rPr>
                <w:rFonts w:ascii="Calibri" w:hAnsi="Calibri"/>
                <w:b w:val="0"/>
                <w:i w:val="0"/>
                <w:color w:val="222222"/>
                <w:sz w:val="18"/>
              </w:rPr>
              <w:t>2028</w:t>
            </w:r>
          </w:p>
        </w:tc>
        <w:tc>
          <w:tcPr>
            <w:tcW w:type="dxa" w:w="3264"/>
          </w:tcPr>
          <w:p>
            <w:r/>
            <w:r>
              <w:rPr>
                <w:rFonts w:ascii="Calibri" w:hAnsi="Calibri"/>
                <w:b w:val="0"/>
                <w:i w:val="0"/>
                <w:color w:val="222222"/>
                <w:sz w:val="18"/>
              </w:rPr>
              <w:t>Integration</w:t>
            </w:r>
          </w:p>
        </w:tc>
        <w:tc>
          <w:tcPr>
            <w:tcW w:type="dxa" w:w="3264"/>
          </w:tcPr>
          <w:p>
            <w:r/>
            <w:r>
              <w:rPr>
                <w:rFonts w:ascii="Calibri" w:hAnsi="Calibri"/>
                <w:b w:val="0"/>
                <w:i w:val="0"/>
                <w:color w:val="222222"/>
                <w:sz w:val="18"/>
              </w:rPr>
              <w:t>One system, not silos</w:t>
            </w:r>
          </w:p>
        </w:tc>
      </w:tr>
      <w:tr>
        <w:tc>
          <w:tcPr>
            <w:tcW w:type="dxa" w:w="3264"/>
          </w:tcPr>
          <w:p>
            <w:r/>
            <w:r>
              <w:rPr>
                <w:rFonts w:ascii="Calibri" w:hAnsi="Calibri"/>
                <w:b w:val="0"/>
                <w:i w:val="0"/>
                <w:color w:val="222222"/>
                <w:sz w:val="18"/>
              </w:rPr>
              <w:t>2029</w:t>
            </w:r>
          </w:p>
        </w:tc>
        <w:tc>
          <w:tcPr>
            <w:tcW w:type="dxa" w:w="3264"/>
          </w:tcPr>
          <w:p>
            <w:r/>
            <w:r>
              <w:rPr>
                <w:rFonts w:ascii="Calibri" w:hAnsi="Calibri"/>
                <w:b w:val="0"/>
                <w:i w:val="0"/>
                <w:color w:val="222222"/>
                <w:sz w:val="18"/>
              </w:rPr>
              <w:t>Innovation</w:t>
            </w:r>
          </w:p>
        </w:tc>
        <w:tc>
          <w:tcPr>
            <w:tcW w:type="dxa" w:w="3264"/>
          </w:tcPr>
          <w:p>
            <w:r/>
            <w:r>
              <w:rPr>
                <w:rFonts w:ascii="Calibri" w:hAnsi="Calibri"/>
                <w:b w:val="0"/>
                <w:i w:val="0"/>
                <w:color w:val="222222"/>
                <w:sz w:val="18"/>
              </w:rPr>
              <w:t>Pilot with evidence</w:t>
            </w:r>
          </w:p>
        </w:tc>
      </w:tr>
      <w:tr>
        <w:tc>
          <w:tcPr>
            <w:tcW w:type="dxa" w:w="3264"/>
          </w:tcPr>
          <w:p>
            <w:r/>
            <w:r>
              <w:rPr>
                <w:rFonts w:ascii="Calibri" w:hAnsi="Calibri"/>
                <w:b w:val="0"/>
                <w:i w:val="0"/>
                <w:color w:val="222222"/>
                <w:sz w:val="18"/>
              </w:rPr>
              <w:t>2030–2031</w:t>
            </w:r>
          </w:p>
        </w:tc>
        <w:tc>
          <w:tcPr>
            <w:tcW w:type="dxa" w:w="3264"/>
          </w:tcPr>
          <w:p>
            <w:r/>
            <w:r>
              <w:rPr>
                <w:rFonts w:ascii="Calibri" w:hAnsi="Calibri"/>
                <w:b w:val="0"/>
                <w:i w:val="0"/>
                <w:color w:val="222222"/>
                <w:sz w:val="18"/>
              </w:rPr>
              <w:t>Leadership</w:t>
            </w:r>
          </w:p>
        </w:tc>
        <w:tc>
          <w:tcPr>
            <w:tcW w:type="dxa" w:w="3264"/>
          </w:tcPr>
          <w:p>
            <w:r/>
            <w:r>
              <w:rPr>
                <w:rFonts w:ascii="Calibri" w:hAnsi="Calibri"/>
                <w:b w:val="0"/>
                <w:i w:val="0"/>
                <w:color w:val="222222"/>
                <w:sz w:val="18"/>
              </w:rPr>
              <w:t>Depth, partnerships, succession</w:t>
            </w:r>
          </w:p>
        </w:tc>
      </w:tr>
      <w:tr>
        <w:tc>
          <w:tcPr>
            <w:tcW w:type="dxa" w:w="3264"/>
          </w:tcPr>
          <w:p>
            <w:r/>
            <w:r>
              <w:rPr>
                <w:rFonts w:ascii="Calibri" w:hAnsi="Calibri"/>
                <w:b w:val="0"/>
                <w:i w:val="0"/>
                <w:color w:val="222222"/>
                <w:sz w:val="18"/>
              </w:rPr>
              <w:t>2032</w:t>
            </w:r>
          </w:p>
        </w:tc>
        <w:tc>
          <w:tcPr>
            <w:tcW w:type="dxa" w:w="3264"/>
          </w:tcPr>
          <w:p>
            <w:r/>
            <w:r>
              <w:rPr>
                <w:rFonts w:ascii="Calibri" w:hAnsi="Calibri"/>
                <w:b w:val="0"/>
                <w:i w:val="0"/>
                <w:color w:val="222222"/>
                <w:sz w:val="18"/>
              </w:rPr>
              <w:t>Sustainability</w:t>
            </w:r>
          </w:p>
        </w:tc>
        <w:tc>
          <w:tcPr>
            <w:tcW w:type="dxa" w:w="3264"/>
          </w:tcPr>
          <w:p>
            <w:r/>
            <w:r>
              <w:rPr>
                <w:rFonts w:ascii="Calibri" w:hAnsi="Calibri"/>
                <w:b w:val="0"/>
                <w:i w:val="0"/>
                <w:color w:val="222222"/>
                <w:sz w:val="18"/>
              </w:rPr>
              <w:t>Stewardship and endurance</w:t>
            </w:r>
          </w:p>
        </w:tc>
      </w:tr>
    </w:tbl>
    <w:p/>
    <w:p>
      <w:pPr>
        <w:spacing w:after="80" w:before="0" w:line="259" w:lineRule="auto"/>
        <w:jc w:val="left"/>
      </w:pPr>
      <w:r>
        <w:rPr>
          <w:rFonts w:ascii="Calibri" w:hAnsi="Calibri"/>
          <w:b w:val="0"/>
          <w:i w:val="0"/>
          <w:color w:val="222222"/>
          <w:sz w:val="22"/>
        </w:rPr>
        <w:t>The Leadership stage spans 2030–2031, reflecting the time required to consolidate institutional influence, partnerships, and leadership capacity.</w:t>
      </w:r>
    </w:p>
    <w:p>
      <w:pPr>
        <w:spacing w:before="140" w:after="60"/>
      </w:pPr>
      <w:r>
        <w:rPr>
          <w:rFonts w:ascii="Calibri" w:hAnsi="Calibri"/>
          <w:b/>
          <w:i w:val="0"/>
          <w:color w:val="1A3A5C"/>
          <w:sz w:val="22"/>
        </w:rPr>
        <w:t>Implementation principles</w:t>
      </w:r>
    </w:p>
    <w:p>
      <w:pPr>
        <w:pStyle w:val="ListBullet"/>
        <w:spacing w:after="20"/>
      </w:pPr>
      <w:r>
        <w:rPr>
          <w:rFonts w:ascii="Calibri" w:hAnsi="Calibri"/>
          <w:b w:val="0"/>
          <w:i w:val="0"/>
          <w:color w:val="222222"/>
          <w:sz w:val="20"/>
        </w:rPr>
        <w:t>Build Strong Foundations Before Expansion</w:t>
      </w:r>
    </w:p>
    <w:p>
      <w:pPr>
        <w:pStyle w:val="ListBullet"/>
        <w:spacing w:after="20"/>
      </w:pPr>
      <w:r>
        <w:rPr>
          <w:rFonts w:ascii="Calibri" w:hAnsi="Calibri"/>
          <w:b w:val="0"/>
          <w:i w:val="0"/>
          <w:color w:val="222222"/>
          <w:sz w:val="20"/>
        </w:rPr>
        <w:t>Strengthen Systems Before Scaling Services</w:t>
      </w:r>
    </w:p>
    <w:p>
      <w:pPr>
        <w:pStyle w:val="ListBullet"/>
        <w:spacing w:after="20"/>
      </w:pPr>
      <w:r>
        <w:rPr>
          <w:rFonts w:ascii="Calibri" w:hAnsi="Calibri"/>
          <w:b w:val="0"/>
          <w:i w:val="0"/>
          <w:color w:val="222222"/>
          <w:sz w:val="20"/>
        </w:rPr>
        <w:t>Promote Partnerships Before Duplication</w:t>
      </w:r>
    </w:p>
    <w:p>
      <w:pPr>
        <w:pStyle w:val="ListBullet"/>
        <w:spacing w:after="20"/>
      </w:pPr>
      <w:r>
        <w:rPr>
          <w:rFonts w:ascii="Calibri" w:hAnsi="Calibri"/>
          <w:b w:val="0"/>
          <w:i w:val="0"/>
          <w:color w:val="222222"/>
          <w:sz w:val="20"/>
        </w:rPr>
        <w:t>Measure Progress Before Accelerating Growth</w:t>
      </w:r>
    </w:p>
    <w:p>
      <w:pPr>
        <w:pStyle w:val="ListBullet"/>
        <w:spacing w:after="20"/>
      </w:pPr>
      <w:r>
        <w:rPr>
          <w:rFonts w:ascii="Calibri" w:hAnsi="Calibri"/>
          <w:b w:val="0"/>
          <w:i w:val="0"/>
          <w:color w:val="222222"/>
          <w:sz w:val="20"/>
        </w:rPr>
        <w:t>Pursue Sustainability Before Replication</w:t>
      </w:r>
    </w:p>
    <w:p>
      <w:pPr>
        <w:spacing w:before="240" w:after="100"/>
      </w:pPr>
      <w:r>
        <w:rPr>
          <w:rFonts w:ascii="Calibri" w:hAnsi="Calibri"/>
          <w:b/>
          <w:i w:val="0"/>
          <w:color w:val="1A3A5C"/>
          <w:sz w:val="26"/>
        </w:rPr>
        <w:t>6. 2027 — Foundation</w:t>
      </w:r>
    </w:p>
    <w:p>
      <w:pPr>
        <w:spacing w:before="140" w:after="60"/>
      </w:pPr>
      <w:r>
        <w:rPr>
          <w:rFonts w:ascii="Calibri" w:hAnsi="Calibri"/>
          <w:b/>
          <w:i w:val="0"/>
          <w:color w:val="1A3A5C"/>
          <w:sz w:val="22"/>
        </w:rPr>
        <w:t>Goal</w:t>
      </w:r>
    </w:p>
    <w:p>
      <w:pPr>
        <w:spacing w:after="80" w:before="0" w:line="259" w:lineRule="auto"/>
        <w:jc w:val="left"/>
      </w:pPr>
      <w:r>
        <w:rPr>
          <w:rFonts w:ascii="Calibri" w:hAnsi="Calibri"/>
          <w:b w:val="0"/>
          <w:i w:val="0"/>
          <w:color w:val="222222"/>
          <w:sz w:val="22"/>
        </w:rPr>
        <w:t>Establish governance, systems, people, finance, digital and operational foundations.</w:t>
      </w:r>
    </w:p>
    <w:p>
      <w:pPr>
        <w:spacing w:before="140" w:after="60"/>
      </w:pPr>
      <w:r>
        <w:rPr>
          <w:rFonts w:ascii="Calibri" w:hAnsi="Calibri"/>
          <w:b/>
          <w:i w:val="0"/>
          <w:color w:val="1A3A5C"/>
          <w:sz w:val="22"/>
        </w:rPr>
        <w:t>Exit test</w:t>
      </w:r>
    </w:p>
    <w:p>
      <w:pPr>
        <w:spacing w:after="120" w:before="80" w:line="259" w:lineRule="auto"/>
        <w:jc w:val="center"/>
      </w:pPr>
      <w:r>
        <w:rPr>
          <w:rFonts w:ascii="Calibri" w:hAnsi="Calibri"/>
          <w:b w:val="0"/>
          <w:i/>
          <w:color w:val="222222"/>
          <w:sz w:val="22"/>
        </w:rPr>
        <w:t>Foundations can support Integration without unsafe scale-up.</w:t>
      </w:r>
    </w:p>
    <w:p>
      <w:pPr>
        <w:spacing w:before="140" w:after="60"/>
      </w:pPr>
      <w:r>
        <w:rPr>
          <w:rFonts w:ascii="Calibri" w:hAnsi="Calibri"/>
          <w:b/>
          <w:i w:val="0"/>
          <w:color w:val="1A3A5C"/>
          <w:sz w:val="22"/>
        </w:rPr>
        <w:t>Actions</w:t>
      </w:r>
    </w:p>
    <w:p>
      <w:pPr>
        <w:pStyle w:val="ListBullet"/>
        <w:spacing w:after="20"/>
      </w:pPr>
      <w:r>
        <w:rPr>
          <w:rFonts w:ascii="Calibri" w:hAnsi="Calibri"/>
          <w:b w:val="0"/>
          <w:i w:val="0"/>
          <w:color w:val="222222"/>
          <w:sz w:val="20"/>
        </w:rPr>
        <w:t>Governance: policies, committees, reporting lines</w:t>
      </w:r>
    </w:p>
    <w:p>
      <w:pPr>
        <w:pStyle w:val="ListBullet"/>
        <w:spacing w:after="20"/>
      </w:pPr>
      <w:r>
        <w:rPr>
          <w:rFonts w:ascii="Calibri" w:hAnsi="Calibri"/>
          <w:b w:val="0"/>
          <w:i w:val="0"/>
          <w:color w:val="222222"/>
          <w:sz w:val="20"/>
        </w:rPr>
        <w:t>People: structure, JDs, performance expectations, orientation</w:t>
      </w:r>
    </w:p>
    <w:p>
      <w:pPr>
        <w:pStyle w:val="ListBullet"/>
        <w:spacing w:after="20"/>
      </w:pPr>
      <w:r>
        <w:rPr>
          <w:rFonts w:ascii="Calibri" w:hAnsi="Calibri"/>
          <w:b w:val="0"/>
          <w:i w:val="0"/>
          <w:color w:val="222222"/>
          <w:sz w:val="20"/>
        </w:rPr>
        <w:t>Finance: budget controls, cash-flow, timely management accounts</w:t>
      </w:r>
    </w:p>
    <w:p>
      <w:pPr>
        <w:pStyle w:val="ListBullet"/>
        <w:spacing w:after="20"/>
      </w:pPr>
      <w:r>
        <w:rPr>
          <w:rFonts w:ascii="Calibri" w:hAnsi="Calibri"/>
          <w:b w:val="0"/>
          <w:i w:val="0"/>
          <w:color w:val="222222"/>
          <w:sz w:val="20"/>
        </w:rPr>
        <w:t>Clinical: SOPs, safety monitoring, referral pathways</w:t>
      </w:r>
    </w:p>
    <w:p>
      <w:pPr>
        <w:pStyle w:val="ListBullet"/>
        <w:spacing w:after="20"/>
      </w:pPr>
      <w:r>
        <w:rPr>
          <w:rFonts w:ascii="Calibri" w:hAnsi="Calibri"/>
          <w:b w:val="0"/>
          <w:i w:val="0"/>
          <w:color w:val="222222"/>
          <w:sz w:val="20"/>
        </w:rPr>
        <w:t>Digital: FCHIP foundation (phased), data governance, information security</w:t>
      </w:r>
    </w:p>
    <w:p>
      <w:pPr>
        <w:spacing w:before="140" w:after="60"/>
      </w:pPr>
      <w:r>
        <w:rPr>
          <w:rFonts w:ascii="Calibri" w:hAnsi="Calibri"/>
          <w:b/>
          <w:i w:val="0"/>
          <w:color w:val="1A3A5C"/>
          <w:sz w:val="22"/>
        </w:rPr>
        <w:t>KPI examples</w:t>
      </w:r>
    </w:p>
    <w:p>
      <w:pPr>
        <w:pStyle w:val="ListBullet"/>
        <w:spacing w:after="20"/>
      </w:pPr>
      <w:r>
        <w:rPr>
          <w:rFonts w:ascii="Calibri" w:hAnsi="Calibri"/>
          <w:b w:val="0"/>
          <w:i w:val="0"/>
          <w:color w:val="222222"/>
          <w:sz w:val="20"/>
        </w:rPr>
        <w:t>% core policies approved</w:t>
      </w:r>
    </w:p>
    <w:p>
      <w:pPr>
        <w:pStyle w:val="ListBullet"/>
        <w:spacing w:after="20"/>
      </w:pPr>
      <w:r>
        <w:rPr>
          <w:rFonts w:ascii="Calibri" w:hAnsi="Calibri"/>
          <w:b w:val="0"/>
          <w:i w:val="0"/>
          <w:color w:val="222222"/>
          <w:sz w:val="20"/>
        </w:rPr>
        <w:t>% staff with current JDs</w:t>
      </w:r>
    </w:p>
    <w:p>
      <w:pPr>
        <w:pStyle w:val="ListBullet"/>
        <w:spacing w:after="20"/>
      </w:pPr>
      <w:r>
        <w:rPr>
          <w:rFonts w:ascii="Calibri" w:hAnsi="Calibri"/>
          <w:b w:val="0"/>
          <w:i w:val="0"/>
          <w:color w:val="222222"/>
          <w:sz w:val="20"/>
        </w:rPr>
        <w:t>Monthly financial reports on time</w:t>
      </w:r>
    </w:p>
    <w:p>
      <w:pPr>
        <w:pStyle w:val="ListBullet"/>
        <w:spacing w:after="20"/>
      </w:pPr>
      <w:r>
        <w:rPr>
          <w:rFonts w:ascii="Calibri" w:hAnsi="Calibri"/>
          <w:b w:val="0"/>
          <w:i w:val="0"/>
          <w:color w:val="222222"/>
          <w:sz w:val="20"/>
        </w:rPr>
        <w:t>Safety incidents reviewed on time</w:t>
      </w:r>
    </w:p>
    <w:p>
      <w:pPr>
        <w:pStyle w:val="ListBullet"/>
        <w:spacing w:after="20"/>
      </w:pPr>
      <w:r>
        <w:rPr>
          <w:rFonts w:ascii="Calibri" w:hAnsi="Calibri"/>
          <w:b w:val="0"/>
          <w:i w:val="0"/>
          <w:color w:val="222222"/>
          <w:sz w:val="20"/>
        </w:rPr>
        <w:t>% priority SOPs implemented</w:t>
      </w:r>
    </w:p>
    <w:p>
      <w:pPr>
        <w:pStyle w:val="ListBullet"/>
        <w:spacing w:after="20"/>
      </w:pPr>
      <w:r>
        <w:rPr>
          <w:rFonts w:ascii="Calibri" w:hAnsi="Calibri"/>
          <w:b w:val="0"/>
          <w:i w:val="0"/>
          <w:color w:val="222222"/>
          <w:sz w:val="20"/>
        </w:rPr>
        <w:t>Data completeness rate</w:t>
      </w:r>
    </w:p>
    <w:p>
      <w:pPr>
        <w:spacing w:before="140" w:after="60"/>
      </w:pPr>
      <w:r>
        <w:rPr>
          <w:rFonts w:ascii="Calibri" w:hAnsi="Calibri"/>
          <w:b/>
          <w:i w:val="0"/>
          <w:color w:val="1A3A5C"/>
          <w:sz w:val="22"/>
        </w:rPr>
        <w:t>Gate evidence (minimum)</w:t>
      </w:r>
    </w:p>
    <w:p>
      <w:pPr>
        <w:pStyle w:val="ListBullet"/>
        <w:spacing w:after="20"/>
      </w:pPr>
      <w:r>
        <w:rPr>
          <w:rFonts w:ascii="Calibri" w:hAnsi="Calibri"/>
          <w:b w:val="0"/>
          <w:i w:val="0"/>
          <w:color w:val="222222"/>
          <w:sz w:val="20"/>
        </w:rPr>
        <w:t>✓ Board/management minutes</w:t>
      </w:r>
    </w:p>
    <w:p>
      <w:pPr>
        <w:pStyle w:val="ListBullet"/>
        <w:spacing w:after="20"/>
      </w:pPr>
      <w:r>
        <w:rPr>
          <w:rFonts w:ascii="Calibri" w:hAnsi="Calibri"/>
          <w:b w:val="0"/>
          <w:i w:val="0"/>
          <w:color w:val="222222"/>
          <w:sz w:val="20"/>
        </w:rPr>
        <w:t>✓ Approved policies register</w:t>
      </w:r>
    </w:p>
    <w:p>
      <w:pPr>
        <w:pStyle w:val="ListBullet"/>
        <w:spacing w:after="20"/>
      </w:pPr>
      <w:r>
        <w:rPr>
          <w:rFonts w:ascii="Calibri" w:hAnsi="Calibri"/>
          <w:b w:val="0"/>
          <w:i w:val="0"/>
          <w:color w:val="222222"/>
          <w:sz w:val="20"/>
        </w:rPr>
        <w:t>✓ Staff structure and JD pack</w:t>
      </w:r>
    </w:p>
    <w:p>
      <w:pPr>
        <w:pStyle w:val="ListBullet"/>
        <w:spacing w:after="20"/>
      </w:pPr>
      <w:r>
        <w:rPr>
          <w:rFonts w:ascii="Calibri" w:hAnsi="Calibri"/>
          <w:b w:val="0"/>
          <w:i w:val="0"/>
          <w:color w:val="222222"/>
          <w:sz w:val="20"/>
        </w:rPr>
        <w:t>✓ Approved budget</w:t>
      </w:r>
    </w:p>
    <w:p>
      <w:pPr>
        <w:pStyle w:val="ListBullet"/>
        <w:spacing w:after="20"/>
      </w:pPr>
      <w:r>
        <w:rPr>
          <w:rFonts w:ascii="Calibri" w:hAnsi="Calibri"/>
          <w:b w:val="0"/>
          <w:i w:val="0"/>
          <w:color w:val="222222"/>
          <w:sz w:val="20"/>
        </w:rPr>
        <w:t>✓ KPI baseline</w:t>
      </w:r>
    </w:p>
    <w:p>
      <w:pPr>
        <w:pStyle w:val="ListBullet"/>
        <w:spacing w:after="20"/>
      </w:pPr>
      <w:r>
        <w:rPr>
          <w:rFonts w:ascii="Calibri" w:hAnsi="Calibri"/>
          <w:b w:val="0"/>
          <w:i w:val="0"/>
          <w:color w:val="222222"/>
          <w:sz w:val="20"/>
        </w:rPr>
        <w:t>✓ Risk register</w:t>
      </w:r>
    </w:p>
    <w:p>
      <w:pPr>
        <w:pStyle w:val="ListBullet"/>
        <w:spacing w:after="20"/>
      </w:pPr>
      <w:r>
        <w:rPr>
          <w:rFonts w:ascii="Calibri" w:hAnsi="Calibri"/>
          <w:b w:val="0"/>
          <w:i w:val="0"/>
          <w:color w:val="222222"/>
          <w:sz w:val="20"/>
        </w:rPr>
        <w:t>✓ SOP register</w:t>
      </w:r>
    </w:p>
    <w:p>
      <w:pPr>
        <w:spacing w:before="240" w:after="100"/>
      </w:pPr>
      <w:r>
        <w:rPr>
          <w:rFonts w:ascii="Calibri" w:hAnsi="Calibri"/>
          <w:b/>
          <w:i w:val="0"/>
          <w:color w:val="1A3A5C"/>
          <w:sz w:val="26"/>
        </w:rPr>
        <w:t>7. 2028 — Integration</w:t>
      </w:r>
    </w:p>
    <w:p>
      <w:pPr>
        <w:spacing w:before="140" w:after="60"/>
      </w:pPr>
      <w:r>
        <w:rPr>
          <w:rFonts w:ascii="Calibri" w:hAnsi="Calibri"/>
          <w:b/>
          <w:i w:val="0"/>
          <w:color w:val="1A3A5C"/>
          <w:sz w:val="22"/>
        </w:rPr>
        <w:t>Goal</w:t>
      </w:r>
    </w:p>
    <w:p>
      <w:pPr>
        <w:spacing w:after="80" w:before="0" w:line="259" w:lineRule="auto"/>
        <w:jc w:val="left"/>
      </w:pPr>
      <w:r>
        <w:rPr>
          <w:rFonts w:ascii="Calibri" w:hAnsi="Calibri"/>
          <w:b w:val="0"/>
          <w:i w:val="0"/>
          <w:color w:val="222222"/>
          <w:sz w:val="22"/>
        </w:rPr>
        <w:t>Integrate clinical, community, digital and workforce pathways.</w:t>
      </w:r>
    </w:p>
    <w:p>
      <w:pPr>
        <w:spacing w:before="140" w:after="60"/>
      </w:pPr>
      <w:r>
        <w:rPr>
          <w:rFonts w:ascii="Calibri" w:hAnsi="Calibri"/>
          <w:b/>
          <w:i w:val="0"/>
          <w:color w:val="1A3A5C"/>
          <w:sz w:val="22"/>
        </w:rPr>
        <w:t>Exit test</w:t>
      </w:r>
    </w:p>
    <w:p>
      <w:pPr>
        <w:spacing w:after="120" w:before="80" w:line="259" w:lineRule="auto"/>
        <w:jc w:val="center"/>
      </w:pPr>
      <w:r>
        <w:rPr>
          <w:rFonts w:ascii="Calibri" w:hAnsi="Calibri"/>
          <w:b w:val="0"/>
          <w:i/>
          <w:color w:val="222222"/>
          <w:sz w:val="22"/>
        </w:rPr>
        <w:t>Patients and teams experience one system, not siloed units.</w:t>
      </w:r>
    </w:p>
    <w:p>
      <w:pPr>
        <w:spacing w:before="140" w:after="60"/>
      </w:pPr>
      <w:r>
        <w:rPr>
          <w:rFonts w:ascii="Calibri" w:hAnsi="Calibri"/>
          <w:b/>
          <w:i w:val="0"/>
          <w:color w:val="1A3A5C"/>
          <w:sz w:val="22"/>
        </w:rPr>
        <w:t>Actions</w:t>
      </w:r>
    </w:p>
    <w:p>
      <w:pPr>
        <w:pStyle w:val="ListBullet"/>
        <w:spacing w:after="20"/>
      </w:pPr>
      <w:r>
        <w:rPr>
          <w:rFonts w:ascii="Calibri" w:hAnsi="Calibri"/>
          <w:b w:val="0"/>
          <w:i w:val="0"/>
          <w:color w:val="222222"/>
          <w:sz w:val="20"/>
        </w:rPr>
        <w:t>Map journey: Registration → Triage → Consultation → Lab → Pharmacy → Payment → Follow-up</w:t>
      </w:r>
    </w:p>
    <w:p>
      <w:pPr>
        <w:pStyle w:val="ListBullet"/>
        <w:spacing w:after="20"/>
      </w:pPr>
      <w:r>
        <w:rPr>
          <w:rFonts w:ascii="Calibri" w:hAnsi="Calibri"/>
          <w:b w:val="0"/>
          <w:i w:val="0"/>
          <w:color w:val="222222"/>
          <w:sz w:val="20"/>
        </w:rPr>
        <w:t>Find delay, duplication and fragmentation</w:t>
      </w:r>
    </w:p>
    <w:p>
      <w:pPr>
        <w:pStyle w:val="ListBullet"/>
        <w:spacing w:after="20"/>
      </w:pPr>
      <w:r>
        <w:rPr>
          <w:rFonts w:ascii="Calibri" w:hAnsi="Calibri"/>
          <w:b w:val="0"/>
          <w:i w:val="0"/>
          <w:color w:val="222222"/>
          <w:sz w:val="20"/>
        </w:rPr>
        <w:t>Document referrals; close community–facility loops; record follow-ups</w:t>
      </w:r>
    </w:p>
    <w:p>
      <w:pPr>
        <w:pStyle w:val="ListBullet"/>
        <w:spacing w:after="20"/>
      </w:pPr>
      <w:r>
        <w:rPr>
          <w:rFonts w:ascii="Calibri" w:hAnsi="Calibri"/>
          <w:b w:val="0"/>
          <w:i w:val="0"/>
          <w:color w:val="222222"/>
          <w:sz w:val="20"/>
        </w:rPr>
        <w:t>Hold multidisciplinary reviews; improve handoff documentation</w:t>
      </w:r>
    </w:p>
    <w:p>
      <w:pPr>
        <w:spacing w:before="140" w:after="60"/>
      </w:pPr>
      <w:r>
        <w:rPr>
          <w:rFonts w:ascii="Calibri" w:hAnsi="Calibri"/>
          <w:b/>
          <w:i w:val="0"/>
          <w:color w:val="1A3A5C"/>
          <w:sz w:val="22"/>
        </w:rPr>
        <w:t>KPI examples</w:t>
      </w:r>
    </w:p>
    <w:p>
      <w:pPr>
        <w:pStyle w:val="ListBullet"/>
        <w:spacing w:after="20"/>
      </w:pPr>
      <w:r>
        <w:rPr>
          <w:rFonts w:ascii="Calibri" w:hAnsi="Calibri"/>
          <w:b w:val="0"/>
          <w:i w:val="0"/>
          <w:color w:val="222222"/>
          <w:sz w:val="20"/>
        </w:rPr>
        <w:t>Referral feedback loop completion</w:t>
      </w:r>
    </w:p>
    <w:p>
      <w:pPr>
        <w:pStyle w:val="ListBullet"/>
        <w:spacing w:after="20"/>
      </w:pPr>
      <w:r>
        <w:rPr>
          <w:rFonts w:ascii="Calibri" w:hAnsi="Calibri"/>
          <w:b w:val="0"/>
          <w:i w:val="0"/>
          <w:color w:val="222222"/>
          <w:sz w:val="20"/>
        </w:rPr>
        <w:t>Waiting times at critical steps</w:t>
      </w:r>
    </w:p>
    <w:p>
      <w:pPr>
        <w:pStyle w:val="ListBullet"/>
        <w:spacing w:after="20"/>
      </w:pPr>
      <w:r>
        <w:rPr>
          <w:rFonts w:ascii="Calibri" w:hAnsi="Calibri"/>
          <w:b w:val="0"/>
          <w:i w:val="0"/>
          <w:color w:val="222222"/>
          <w:sz w:val="20"/>
        </w:rPr>
        <w:t>Multidisciplinary reviews held</w:t>
      </w:r>
    </w:p>
    <w:p>
      <w:pPr>
        <w:pStyle w:val="ListBullet"/>
        <w:spacing w:after="20"/>
      </w:pPr>
      <w:r>
        <w:rPr>
          <w:rFonts w:ascii="Calibri" w:hAnsi="Calibri"/>
          <w:b w:val="0"/>
          <w:i w:val="0"/>
          <w:color w:val="222222"/>
          <w:sz w:val="20"/>
        </w:rPr>
        <w:t>Patient experience themes</w:t>
      </w:r>
    </w:p>
    <w:p>
      <w:pPr>
        <w:pStyle w:val="ListBullet"/>
        <w:spacing w:after="20"/>
      </w:pPr>
      <w:r>
        <w:rPr>
          <w:rFonts w:ascii="Calibri" w:hAnsi="Calibri"/>
          <w:b w:val="0"/>
          <w:i w:val="0"/>
          <w:color w:val="222222"/>
          <w:sz w:val="20"/>
        </w:rPr>
        <w:t>Documentation completeness</w:t>
      </w:r>
    </w:p>
    <w:p>
      <w:pPr>
        <w:spacing w:before="140" w:after="60"/>
      </w:pPr>
      <w:r>
        <w:rPr>
          <w:rFonts w:ascii="Calibri" w:hAnsi="Calibri"/>
          <w:b/>
          <w:i w:val="0"/>
          <w:color w:val="1A3A5C"/>
          <w:sz w:val="22"/>
        </w:rPr>
        <w:t>Gate evidence (minimum)</w:t>
      </w:r>
    </w:p>
    <w:p>
      <w:pPr>
        <w:pStyle w:val="ListBullet"/>
        <w:spacing w:after="20"/>
      </w:pPr>
      <w:r>
        <w:rPr>
          <w:rFonts w:ascii="Calibri" w:hAnsi="Calibri"/>
          <w:b w:val="0"/>
          <w:i w:val="0"/>
          <w:color w:val="222222"/>
          <w:sz w:val="20"/>
        </w:rPr>
        <w:t>✓ Patient journey map</w:t>
      </w:r>
    </w:p>
    <w:p>
      <w:pPr>
        <w:pStyle w:val="ListBullet"/>
        <w:spacing w:after="20"/>
      </w:pPr>
      <w:r>
        <w:rPr>
          <w:rFonts w:ascii="Calibri" w:hAnsi="Calibri"/>
          <w:b w:val="0"/>
          <w:i w:val="0"/>
          <w:color w:val="222222"/>
          <w:sz w:val="20"/>
        </w:rPr>
        <w:t>✓ Integration checklist results</w:t>
      </w:r>
    </w:p>
    <w:p>
      <w:pPr>
        <w:pStyle w:val="ListBullet"/>
        <w:spacing w:after="20"/>
      </w:pPr>
      <w:r>
        <w:rPr>
          <w:rFonts w:ascii="Calibri" w:hAnsi="Calibri"/>
          <w:b w:val="0"/>
          <w:i w:val="0"/>
          <w:color w:val="222222"/>
          <w:sz w:val="20"/>
        </w:rPr>
        <w:t>✓ Referral SOP</w:t>
      </w:r>
    </w:p>
    <w:p>
      <w:pPr>
        <w:pStyle w:val="ListBullet"/>
        <w:spacing w:after="20"/>
      </w:pPr>
      <w:r>
        <w:rPr>
          <w:rFonts w:ascii="Calibri" w:hAnsi="Calibri"/>
          <w:b w:val="0"/>
          <w:i w:val="0"/>
          <w:color w:val="222222"/>
          <w:sz w:val="20"/>
        </w:rPr>
        <w:t>✓ Closed-loop referral samples</w:t>
      </w:r>
    </w:p>
    <w:p>
      <w:pPr>
        <w:pStyle w:val="ListBullet"/>
        <w:spacing w:after="20"/>
      </w:pPr>
      <w:r>
        <w:rPr>
          <w:rFonts w:ascii="Calibri" w:hAnsi="Calibri"/>
          <w:b w:val="0"/>
          <w:i w:val="0"/>
          <w:color w:val="222222"/>
          <w:sz w:val="20"/>
        </w:rPr>
        <w:t>✓ Quality/risk reports</w:t>
      </w:r>
    </w:p>
    <w:p>
      <w:pPr>
        <w:spacing w:before="240" w:after="100"/>
      </w:pPr>
      <w:r>
        <w:rPr>
          <w:rFonts w:ascii="Calibri" w:hAnsi="Calibri"/>
          <w:b/>
          <w:i w:val="0"/>
          <w:color w:val="1A3A5C"/>
          <w:sz w:val="26"/>
        </w:rPr>
        <w:t>8. 2029 — Innovation</w:t>
      </w:r>
    </w:p>
    <w:p>
      <w:pPr>
        <w:spacing w:before="140" w:after="60"/>
      </w:pPr>
      <w:r>
        <w:rPr>
          <w:rFonts w:ascii="Calibri" w:hAnsi="Calibri"/>
          <w:b/>
          <w:i w:val="0"/>
          <w:color w:val="1A3A5C"/>
          <w:sz w:val="22"/>
        </w:rPr>
        <w:t>Goal</w:t>
      </w:r>
    </w:p>
    <w:p>
      <w:pPr>
        <w:spacing w:after="80" w:before="0" w:line="259" w:lineRule="auto"/>
        <w:jc w:val="left"/>
      </w:pPr>
      <w:r>
        <w:rPr>
          <w:rFonts w:ascii="Calibri" w:hAnsi="Calibri"/>
          <w:b w:val="0"/>
          <w:i w:val="0"/>
          <w:color w:val="222222"/>
          <w:sz w:val="22"/>
        </w:rPr>
        <w:t>Learn, pilot and improve with responsible digital intelligence.</w:t>
      </w:r>
    </w:p>
    <w:p>
      <w:pPr>
        <w:spacing w:before="140" w:after="60"/>
      </w:pPr>
      <w:r>
        <w:rPr>
          <w:rFonts w:ascii="Calibri" w:hAnsi="Calibri"/>
          <w:b/>
          <w:i w:val="0"/>
          <w:color w:val="1A3A5C"/>
          <w:sz w:val="22"/>
        </w:rPr>
        <w:t>Exit test</w:t>
      </w:r>
    </w:p>
    <w:p>
      <w:pPr>
        <w:spacing w:after="120" w:before="80" w:line="259" w:lineRule="auto"/>
        <w:jc w:val="center"/>
      </w:pPr>
      <w:r>
        <w:rPr>
          <w:rFonts w:ascii="Calibri" w:hAnsi="Calibri"/>
          <w:b w:val="0"/>
          <w:i/>
          <w:color w:val="222222"/>
          <w:sz w:val="22"/>
        </w:rPr>
        <w:t>Innovation improves outcomes or efficiency with documented learning.</w:t>
      </w:r>
    </w:p>
    <w:p>
      <w:pPr>
        <w:spacing w:before="140" w:after="60"/>
      </w:pPr>
      <w:r>
        <w:rPr>
          <w:rFonts w:ascii="Calibri" w:hAnsi="Calibri"/>
          <w:b/>
          <w:i w:val="0"/>
          <w:color w:val="1A3A5C"/>
          <w:sz w:val="22"/>
        </w:rPr>
        <w:t>Actions</w:t>
      </w:r>
    </w:p>
    <w:p>
      <w:pPr>
        <w:pStyle w:val="ListBullet"/>
        <w:spacing w:after="20"/>
      </w:pPr>
      <w:r>
        <w:rPr>
          <w:rFonts w:ascii="Calibri" w:hAnsi="Calibri"/>
          <w:b w:val="0"/>
          <w:i w:val="0"/>
          <w:color w:val="222222"/>
          <w:sz w:val="20"/>
        </w:rPr>
        <w:t>Method: Problem → Idea → Pilot → Evidence → Decision → Scale</w:t>
      </w:r>
    </w:p>
    <w:p>
      <w:pPr>
        <w:pStyle w:val="ListBullet"/>
        <w:spacing w:after="20"/>
      </w:pPr>
      <w:r>
        <w:rPr>
          <w:rFonts w:ascii="Calibri" w:hAnsi="Calibri"/>
          <w:b w:val="0"/>
          <w:i w:val="0"/>
          <w:color w:val="222222"/>
          <w:sz w:val="20"/>
        </w:rPr>
        <w:t>No scale without evidence</w:t>
      </w:r>
    </w:p>
    <w:p>
      <w:pPr>
        <w:pStyle w:val="ListBullet"/>
        <w:spacing w:after="20"/>
      </w:pPr>
      <w:r>
        <w:rPr>
          <w:rFonts w:ascii="Calibri" w:hAnsi="Calibri"/>
          <w:b w:val="0"/>
          <w:i w:val="0"/>
          <w:color w:val="222222"/>
          <w:sz w:val="20"/>
        </w:rPr>
        <w:t>FCHIP phased backlog under clinical governance</w:t>
      </w:r>
    </w:p>
    <w:p>
      <w:pPr>
        <w:pStyle w:val="ListBullet"/>
        <w:spacing w:after="20"/>
      </w:pPr>
      <w:r>
        <w:rPr>
          <w:rFonts w:ascii="Calibri" w:hAnsi="Calibri"/>
          <w:b w:val="0"/>
          <w:i w:val="0"/>
          <w:color w:val="222222"/>
          <w:sz w:val="20"/>
        </w:rPr>
        <w:t>Capture lessons; feed practice and training</w:t>
      </w:r>
    </w:p>
    <w:p>
      <w:pPr>
        <w:spacing w:before="140" w:after="60"/>
      </w:pPr>
      <w:r>
        <w:rPr>
          <w:rFonts w:ascii="Calibri" w:hAnsi="Calibri"/>
          <w:b/>
          <w:i w:val="0"/>
          <w:color w:val="1A3A5C"/>
          <w:sz w:val="22"/>
        </w:rPr>
        <w:t>KPI examples</w:t>
      </w:r>
    </w:p>
    <w:p>
      <w:pPr>
        <w:pStyle w:val="ListBullet"/>
        <w:spacing w:after="20"/>
      </w:pPr>
      <w:r>
        <w:rPr>
          <w:rFonts w:ascii="Calibri" w:hAnsi="Calibri"/>
          <w:b w:val="0"/>
          <w:i w:val="0"/>
          <w:color w:val="222222"/>
          <w:sz w:val="20"/>
        </w:rPr>
        <w:t>Pilots with completed evaluation</w:t>
      </w:r>
    </w:p>
    <w:p>
      <w:pPr>
        <w:pStyle w:val="ListBullet"/>
        <w:spacing w:after="20"/>
      </w:pPr>
      <w:r>
        <w:rPr>
          <w:rFonts w:ascii="Calibri" w:hAnsi="Calibri"/>
          <w:b w:val="0"/>
          <w:i w:val="0"/>
          <w:color w:val="222222"/>
          <w:sz w:val="20"/>
        </w:rPr>
        <w:t>% with Stop/Modify/Scale decision</w:t>
      </w:r>
    </w:p>
    <w:p>
      <w:pPr>
        <w:pStyle w:val="ListBullet"/>
        <w:spacing w:after="20"/>
      </w:pPr>
      <w:r>
        <w:rPr>
          <w:rFonts w:ascii="Calibri" w:hAnsi="Calibri"/>
          <w:b w:val="0"/>
          <w:i w:val="0"/>
          <w:color w:val="222222"/>
          <w:sz w:val="20"/>
        </w:rPr>
        <w:t>Documented gains</w:t>
      </w:r>
    </w:p>
    <w:p>
      <w:pPr>
        <w:pStyle w:val="ListBullet"/>
        <w:spacing w:after="20"/>
      </w:pPr>
      <w:r>
        <w:rPr>
          <w:rFonts w:ascii="Calibri" w:hAnsi="Calibri"/>
          <w:b w:val="0"/>
          <w:i w:val="0"/>
          <w:color w:val="222222"/>
          <w:sz w:val="20"/>
        </w:rPr>
        <w:t>FMM improvement on priority dimensions</w:t>
      </w:r>
    </w:p>
    <w:p>
      <w:pPr>
        <w:spacing w:before="140" w:after="60"/>
      </w:pPr>
      <w:r>
        <w:rPr>
          <w:rFonts w:ascii="Calibri" w:hAnsi="Calibri"/>
          <w:b/>
          <w:i w:val="0"/>
          <w:color w:val="1A3A5C"/>
          <w:sz w:val="22"/>
        </w:rPr>
        <w:t>Gate evidence (minimum)</w:t>
      </w:r>
    </w:p>
    <w:p>
      <w:pPr>
        <w:pStyle w:val="ListBullet"/>
        <w:spacing w:after="20"/>
      </w:pPr>
      <w:r>
        <w:rPr>
          <w:rFonts w:ascii="Calibri" w:hAnsi="Calibri"/>
          <w:b w:val="0"/>
          <w:i w:val="0"/>
          <w:color w:val="222222"/>
          <w:sz w:val="20"/>
        </w:rPr>
        <w:t>✓ Innovation canvases</w:t>
      </w:r>
    </w:p>
    <w:p>
      <w:pPr>
        <w:pStyle w:val="ListBullet"/>
        <w:spacing w:after="20"/>
      </w:pPr>
      <w:r>
        <w:rPr>
          <w:rFonts w:ascii="Calibri" w:hAnsi="Calibri"/>
          <w:b w:val="0"/>
          <w:i w:val="0"/>
          <w:color w:val="222222"/>
          <w:sz w:val="20"/>
        </w:rPr>
        <w:t>✓ Pilot evaluations</w:t>
      </w:r>
    </w:p>
    <w:p>
      <w:pPr>
        <w:pStyle w:val="ListBullet"/>
        <w:spacing w:after="20"/>
      </w:pPr>
      <w:r>
        <w:rPr>
          <w:rFonts w:ascii="Calibri" w:hAnsi="Calibri"/>
          <w:b w:val="0"/>
          <w:i w:val="0"/>
          <w:color w:val="222222"/>
          <w:sz w:val="20"/>
        </w:rPr>
        <w:t>✓ Scale/stop decisions</w:t>
      </w:r>
    </w:p>
    <w:p>
      <w:pPr>
        <w:pStyle w:val="ListBullet"/>
        <w:spacing w:after="20"/>
      </w:pPr>
      <w:r>
        <w:rPr>
          <w:rFonts w:ascii="Calibri" w:hAnsi="Calibri"/>
          <w:b w:val="0"/>
          <w:i w:val="0"/>
          <w:color w:val="222222"/>
          <w:sz w:val="20"/>
        </w:rPr>
        <w:t>✓ FCHIP backlog</w:t>
      </w:r>
    </w:p>
    <w:p>
      <w:pPr>
        <w:pStyle w:val="ListBullet"/>
        <w:spacing w:after="20"/>
      </w:pPr>
      <w:r>
        <w:rPr>
          <w:rFonts w:ascii="Calibri" w:hAnsi="Calibri"/>
          <w:b w:val="0"/>
          <w:i w:val="0"/>
          <w:color w:val="222222"/>
          <w:sz w:val="20"/>
        </w:rPr>
        <w:t>✓ Lessons learned log</w:t>
      </w:r>
    </w:p>
    <w:p>
      <w:pPr>
        <w:spacing w:before="240" w:after="100"/>
      </w:pPr>
      <w:r>
        <w:rPr>
          <w:rFonts w:ascii="Calibri" w:hAnsi="Calibri"/>
          <w:b/>
          <w:i w:val="0"/>
          <w:color w:val="1A3A5C"/>
          <w:sz w:val="26"/>
        </w:rPr>
        <w:t>9. 2030–2031 — Leadership</w:t>
      </w:r>
    </w:p>
    <w:p>
      <w:pPr>
        <w:spacing w:before="140" w:after="60"/>
      </w:pPr>
      <w:r>
        <w:rPr>
          <w:rFonts w:ascii="Calibri" w:hAnsi="Calibri"/>
          <w:b/>
          <w:i w:val="0"/>
          <w:color w:val="1A3A5C"/>
          <w:sz w:val="22"/>
        </w:rPr>
        <w:t>Goal</w:t>
      </w:r>
    </w:p>
    <w:p>
      <w:pPr>
        <w:spacing w:after="80" w:before="0" w:line="259" w:lineRule="auto"/>
        <w:jc w:val="left"/>
      </w:pPr>
      <w:r>
        <w:rPr>
          <w:rFonts w:ascii="Calibri" w:hAnsi="Calibri"/>
          <w:b w:val="0"/>
          <w:i w:val="0"/>
          <w:color w:val="222222"/>
          <w:sz w:val="22"/>
        </w:rPr>
        <w:t>Strengthen FairBanks as a trusted institutional leader and partner.</w:t>
      </w:r>
    </w:p>
    <w:p>
      <w:pPr>
        <w:spacing w:before="140" w:after="60"/>
      </w:pPr>
      <w:r>
        <w:rPr>
          <w:rFonts w:ascii="Calibri" w:hAnsi="Calibri"/>
          <w:b/>
          <w:i w:val="0"/>
          <w:color w:val="1A3A5C"/>
          <w:sz w:val="22"/>
        </w:rPr>
        <w:t>Exit test</w:t>
      </w:r>
    </w:p>
    <w:p>
      <w:pPr>
        <w:spacing w:after="120" w:before="80" w:line="259" w:lineRule="auto"/>
        <w:jc w:val="center"/>
      </w:pPr>
      <w:r>
        <w:rPr>
          <w:rFonts w:ascii="Calibri" w:hAnsi="Calibri"/>
          <w:b w:val="0"/>
          <w:i/>
          <w:color w:val="222222"/>
          <w:sz w:val="22"/>
        </w:rPr>
        <w:t>FairBanks can lead collaboratively without founder-only dependence.</w:t>
      </w:r>
    </w:p>
    <w:p>
      <w:pPr>
        <w:spacing w:before="140" w:after="60"/>
      </w:pPr>
      <w:r>
        <w:rPr>
          <w:rFonts w:ascii="Calibri" w:hAnsi="Calibri"/>
          <w:b/>
          <w:i w:val="0"/>
          <w:color w:val="1A3A5C"/>
          <w:sz w:val="22"/>
        </w:rPr>
        <w:t>Actions</w:t>
      </w:r>
    </w:p>
    <w:p>
      <w:pPr>
        <w:pStyle w:val="ListBullet"/>
        <w:spacing w:after="20"/>
      </w:pPr>
      <w:r>
        <w:rPr>
          <w:rFonts w:ascii="Calibri" w:hAnsi="Calibri"/>
          <w:b w:val="0"/>
          <w:i w:val="0"/>
          <w:color w:val="222222"/>
          <w:sz w:val="20"/>
        </w:rPr>
        <w:t>Second-line leaders ready; documented delegation; succession notes</w:t>
      </w:r>
    </w:p>
    <w:p>
      <w:pPr>
        <w:pStyle w:val="ListBullet"/>
        <w:spacing w:after="20"/>
      </w:pPr>
      <w:r>
        <w:rPr>
          <w:rFonts w:ascii="Calibri" w:hAnsi="Calibri"/>
          <w:b w:val="0"/>
          <w:i w:val="0"/>
          <w:color w:val="222222"/>
          <w:sz w:val="20"/>
        </w:rPr>
        <w:t>Institutional (not personality-based) partnerships</w:t>
      </w:r>
    </w:p>
    <w:p>
      <w:pPr>
        <w:pStyle w:val="ListBullet"/>
        <w:spacing w:after="20"/>
      </w:pPr>
      <w:r>
        <w:rPr>
          <w:rFonts w:ascii="Calibri" w:hAnsi="Calibri"/>
          <w:b w:val="0"/>
          <w:i w:val="0"/>
          <w:color w:val="222222"/>
          <w:sz w:val="20"/>
        </w:rPr>
        <w:t>Credible external representation; documented institutional memory</w:t>
      </w:r>
    </w:p>
    <w:p>
      <w:pPr>
        <w:spacing w:before="140" w:after="60"/>
      </w:pPr>
      <w:r>
        <w:rPr>
          <w:rFonts w:ascii="Calibri" w:hAnsi="Calibri"/>
          <w:b/>
          <w:i w:val="0"/>
          <w:color w:val="1A3A5C"/>
          <w:sz w:val="22"/>
        </w:rPr>
        <w:t>KPI examples</w:t>
      </w:r>
    </w:p>
    <w:p>
      <w:pPr>
        <w:pStyle w:val="ListBullet"/>
        <w:spacing w:after="20"/>
      </w:pPr>
      <w:r>
        <w:rPr>
          <w:rFonts w:ascii="Calibri" w:hAnsi="Calibri"/>
          <w:b w:val="0"/>
          <w:i w:val="0"/>
          <w:color w:val="222222"/>
          <w:sz w:val="20"/>
        </w:rPr>
        <w:t>Leadership coverage for critical roles</w:t>
      </w:r>
    </w:p>
    <w:p>
      <w:pPr>
        <w:pStyle w:val="ListBullet"/>
        <w:spacing w:after="20"/>
      </w:pPr>
      <w:r>
        <w:rPr>
          <w:rFonts w:ascii="Calibri" w:hAnsi="Calibri"/>
          <w:b w:val="0"/>
          <w:i w:val="0"/>
          <w:color w:val="222222"/>
          <w:sz w:val="20"/>
        </w:rPr>
        <w:t>% partnerships with owners</w:t>
      </w:r>
    </w:p>
    <w:p>
      <w:pPr>
        <w:pStyle w:val="ListBullet"/>
        <w:spacing w:after="20"/>
      </w:pPr>
      <w:r>
        <w:rPr>
          <w:rFonts w:ascii="Calibri" w:hAnsi="Calibri"/>
          <w:b w:val="0"/>
          <w:i w:val="0"/>
          <w:color w:val="222222"/>
          <w:sz w:val="20"/>
        </w:rPr>
        <w:t>Succession docs for key posts</w:t>
      </w:r>
    </w:p>
    <w:p>
      <w:pPr>
        <w:pStyle w:val="ListBullet"/>
        <w:spacing w:after="20"/>
      </w:pPr>
      <w:r>
        <w:rPr>
          <w:rFonts w:ascii="Calibri" w:hAnsi="Calibri"/>
          <w:b w:val="0"/>
          <w:i w:val="0"/>
          <w:color w:val="222222"/>
          <w:sz w:val="20"/>
        </w:rPr>
        <w:t>External engagement quality</w:t>
      </w:r>
    </w:p>
    <w:p>
      <w:pPr>
        <w:spacing w:before="140" w:after="60"/>
      </w:pPr>
      <w:r>
        <w:rPr>
          <w:rFonts w:ascii="Calibri" w:hAnsi="Calibri"/>
          <w:b/>
          <w:i w:val="0"/>
          <w:color w:val="1A3A5C"/>
          <w:sz w:val="22"/>
        </w:rPr>
        <w:t>Gate evidence (minimum)</w:t>
      </w:r>
    </w:p>
    <w:p>
      <w:pPr>
        <w:pStyle w:val="ListBullet"/>
        <w:spacing w:after="20"/>
      </w:pPr>
      <w:r>
        <w:rPr>
          <w:rFonts w:ascii="Calibri" w:hAnsi="Calibri"/>
          <w:b w:val="0"/>
          <w:i w:val="0"/>
          <w:color w:val="222222"/>
          <w:sz w:val="20"/>
        </w:rPr>
        <w:t>✓ Leadership readiness assessment</w:t>
      </w:r>
    </w:p>
    <w:p>
      <w:pPr>
        <w:pStyle w:val="ListBullet"/>
        <w:spacing w:after="20"/>
      </w:pPr>
      <w:r>
        <w:rPr>
          <w:rFonts w:ascii="Calibri" w:hAnsi="Calibri"/>
          <w:b w:val="0"/>
          <w:i w:val="0"/>
          <w:color w:val="222222"/>
          <w:sz w:val="20"/>
        </w:rPr>
        <w:t>✓ Succession notes</w:t>
      </w:r>
    </w:p>
    <w:p>
      <w:pPr>
        <w:pStyle w:val="ListBullet"/>
        <w:spacing w:after="20"/>
      </w:pPr>
      <w:r>
        <w:rPr>
          <w:rFonts w:ascii="Calibri" w:hAnsi="Calibri"/>
          <w:b w:val="0"/>
          <w:i w:val="0"/>
          <w:color w:val="222222"/>
          <w:sz w:val="20"/>
        </w:rPr>
        <w:t>✓ Partnership tracker</w:t>
      </w:r>
    </w:p>
    <w:p>
      <w:pPr>
        <w:pStyle w:val="ListBullet"/>
        <w:spacing w:after="20"/>
      </w:pPr>
      <w:r>
        <w:rPr>
          <w:rFonts w:ascii="Calibri" w:hAnsi="Calibri"/>
          <w:b w:val="0"/>
          <w:i w:val="0"/>
          <w:color w:val="222222"/>
          <w:sz w:val="20"/>
        </w:rPr>
        <w:t>✓ Knowledge register</w:t>
      </w:r>
    </w:p>
    <w:p>
      <w:pPr>
        <w:pStyle w:val="ListBullet"/>
        <w:spacing w:after="20"/>
      </w:pPr>
      <w:r>
        <w:rPr>
          <w:rFonts w:ascii="Calibri" w:hAnsi="Calibri"/>
          <w:b w:val="0"/>
          <w:i w:val="0"/>
          <w:color w:val="222222"/>
          <w:sz w:val="20"/>
        </w:rPr>
        <w:t>✓ Engagement log</w:t>
      </w:r>
    </w:p>
    <w:p>
      <w:pPr>
        <w:spacing w:before="240" w:after="100"/>
      </w:pPr>
      <w:r>
        <w:rPr>
          <w:rFonts w:ascii="Calibri" w:hAnsi="Calibri"/>
          <w:b/>
          <w:i w:val="0"/>
          <w:color w:val="1A3A5C"/>
          <w:sz w:val="26"/>
        </w:rPr>
        <w:t>10. 2032 — Sustainability</w:t>
      </w:r>
    </w:p>
    <w:p>
      <w:pPr>
        <w:spacing w:before="140" w:after="60"/>
      </w:pPr>
      <w:r>
        <w:rPr>
          <w:rFonts w:ascii="Calibri" w:hAnsi="Calibri"/>
          <w:b/>
          <w:i w:val="0"/>
          <w:color w:val="1A3A5C"/>
          <w:sz w:val="22"/>
        </w:rPr>
        <w:t>Goal</w:t>
      </w:r>
    </w:p>
    <w:p>
      <w:pPr>
        <w:spacing w:after="80" w:before="0" w:line="259" w:lineRule="auto"/>
        <w:jc w:val="left"/>
      </w:pPr>
      <w:r>
        <w:rPr>
          <w:rFonts w:ascii="Calibri" w:hAnsi="Calibri"/>
          <w:b w:val="0"/>
          <w:i w:val="0"/>
          <w:color w:val="222222"/>
          <w:sz w:val="22"/>
        </w:rPr>
        <w:t>Lock stewardship, resilience and lasting community value.</w:t>
      </w:r>
    </w:p>
    <w:p>
      <w:pPr>
        <w:spacing w:before="140" w:after="60"/>
      </w:pPr>
      <w:r>
        <w:rPr>
          <w:rFonts w:ascii="Calibri" w:hAnsi="Calibri"/>
          <w:b/>
          <w:i w:val="0"/>
          <w:color w:val="1A3A5C"/>
          <w:sz w:val="22"/>
        </w:rPr>
        <w:t>Exit test</w:t>
      </w:r>
    </w:p>
    <w:p>
      <w:pPr>
        <w:spacing w:after="120" w:before="80" w:line="259" w:lineRule="auto"/>
        <w:jc w:val="center"/>
      </w:pPr>
      <w:r>
        <w:rPr>
          <w:rFonts w:ascii="Calibri" w:hAnsi="Calibri"/>
          <w:b w:val="0"/>
          <w:i/>
          <w:color w:val="222222"/>
          <w:sz w:val="22"/>
        </w:rPr>
        <w:t>The institution can endure beyond one planning cycle.</w:t>
      </w:r>
    </w:p>
    <w:p>
      <w:pPr>
        <w:spacing w:before="140" w:after="60"/>
      </w:pPr>
      <w:r>
        <w:rPr>
          <w:rFonts w:ascii="Calibri" w:hAnsi="Calibri"/>
          <w:b/>
          <w:i w:val="0"/>
          <w:color w:val="1A3A5C"/>
          <w:sz w:val="22"/>
        </w:rPr>
        <w:t>Actions</w:t>
      </w:r>
    </w:p>
    <w:p>
      <w:pPr>
        <w:pStyle w:val="ListBullet"/>
        <w:spacing w:after="20"/>
      </w:pPr>
      <w:r>
        <w:rPr>
          <w:rFonts w:ascii="Calibri" w:hAnsi="Calibri"/>
          <w:b w:val="0"/>
          <w:i w:val="0"/>
          <w:color w:val="222222"/>
          <w:sz w:val="20"/>
        </w:rPr>
        <w:t>Stewardship test before major spend (finance, operations, safety, leadership, community value, endurance)</w:t>
      </w:r>
    </w:p>
    <w:p>
      <w:pPr>
        <w:pStyle w:val="ListBullet"/>
        <w:spacing w:after="20"/>
      </w:pPr>
      <w:r>
        <w:rPr>
          <w:rFonts w:ascii="Calibri" w:hAnsi="Calibri"/>
          <w:b w:val="0"/>
          <w:i w:val="0"/>
          <w:color w:val="222222"/>
          <w:sz w:val="20"/>
        </w:rPr>
        <w:t>Confirm resilience; reaffirm Covenant; prepare next horizon</w:t>
      </w:r>
    </w:p>
    <w:p>
      <w:pPr>
        <w:spacing w:before="140" w:after="60"/>
      </w:pPr>
      <w:r>
        <w:rPr>
          <w:rFonts w:ascii="Calibri" w:hAnsi="Calibri"/>
          <w:b/>
          <w:i w:val="0"/>
          <w:color w:val="1A3A5C"/>
          <w:sz w:val="22"/>
        </w:rPr>
        <w:t>KPI examples</w:t>
      </w:r>
    </w:p>
    <w:p>
      <w:pPr>
        <w:pStyle w:val="ListBullet"/>
        <w:spacing w:after="20"/>
      </w:pPr>
      <w:r>
        <w:rPr>
          <w:rFonts w:ascii="Calibri" w:hAnsi="Calibri"/>
          <w:b w:val="0"/>
          <w:i w:val="0"/>
          <w:color w:val="222222"/>
          <w:sz w:val="20"/>
        </w:rPr>
        <w:t>Sustainability/resilience indicators</w:t>
      </w:r>
    </w:p>
    <w:p>
      <w:pPr>
        <w:pStyle w:val="ListBullet"/>
        <w:spacing w:after="20"/>
      </w:pPr>
      <w:r>
        <w:rPr>
          <w:rFonts w:ascii="Calibri" w:hAnsi="Calibri"/>
          <w:b w:val="0"/>
          <w:i w:val="0"/>
          <w:color w:val="222222"/>
          <w:sz w:val="20"/>
        </w:rPr>
        <w:t>% major investments passing stewardship test</w:t>
      </w:r>
    </w:p>
    <w:p>
      <w:pPr>
        <w:pStyle w:val="ListBullet"/>
        <w:spacing w:after="20"/>
      </w:pPr>
      <w:r>
        <w:rPr>
          <w:rFonts w:ascii="Calibri" w:hAnsi="Calibri"/>
          <w:b w:val="0"/>
          <w:i w:val="0"/>
          <w:color w:val="222222"/>
          <w:sz w:val="20"/>
        </w:rPr>
        <w:t>Risk residual within appetite</w:t>
      </w:r>
    </w:p>
    <w:p>
      <w:pPr>
        <w:pStyle w:val="ListBullet"/>
        <w:spacing w:after="20"/>
      </w:pPr>
      <w:r>
        <w:rPr>
          <w:rFonts w:ascii="Calibri" w:hAnsi="Calibri"/>
          <w:b w:val="0"/>
          <w:i w:val="0"/>
          <w:color w:val="222222"/>
          <w:sz w:val="20"/>
        </w:rPr>
        <w:t>Covenant reaffirmation done</w:t>
      </w:r>
    </w:p>
    <w:p>
      <w:pPr>
        <w:spacing w:before="140" w:after="60"/>
      </w:pPr>
      <w:r>
        <w:rPr>
          <w:rFonts w:ascii="Calibri" w:hAnsi="Calibri"/>
          <w:b/>
          <w:i w:val="0"/>
          <w:color w:val="1A3A5C"/>
          <w:sz w:val="22"/>
        </w:rPr>
        <w:t>Gate evidence (minimum)</w:t>
      </w:r>
    </w:p>
    <w:p>
      <w:pPr>
        <w:pStyle w:val="ListBullet"/>
        <w:spacing w:after="20"/>
      </w:pPr>
      <w:r>
        <w:rPr>
          <w:rFonts w:ascii="Calibri" w:hAnsi="Calibri"/>
          <w:b w:val="0"/>
          <w:i w:val="0"/>
          <w:color w:val="222222"/>
          <w:sz w:val="20"/>
        </w:rPr>
        <w:t>✓ Investment prioritisation records</w:t>
      </w:r>
    </w:p>
    <w:p>
      <w:pPr>
        <w:pStyle w:val="ListBullet"/>
        <w:spacing w:after="20"/>
      </w:pPr>
      <w:r>
        <w:rPr>
          <w:rFonts w:ascii="Calibri" w:hAnsi="Calibri"/>
          <w:b w:val="0"/>
          <w:i w:val="0"/>
          <w:color w:val="222222"/>
          <w:sz w:val="20"/>
        </w:rPr>
        <w:t>✓ Sustainability scorecard</w:t>
      </w:r>
    </w:p>
    <w:p>
      <w:pPr>
        <w:pStyle w:val="ListBullet"/>
        <w:spacing w:after="20"/>
      </w:pPr>
      <w:r>
        <w:rPr>
          <w:rFonts w:ascii="Calibri" w:hAnsi="Calibri"/>
          <w:b w:val="0"/>
          <w:i w:val="0"/>
          <w:color w:val="222222"/>
          <w:sz w:val="20"/>
        </w:rPr>
        <w:t>✓ Risk register</w:t>
      </w:r>
    </w:p>
    <w:p>
      <w:pPr>
        <w:pStyle w:val="ListBullet"/>
        <w:spacing w:after="20"/>
      </w:pPr>
      <w:r>
        <w:rPr>
          <w:rFonts w:ascii="Calibri" w:hAnsi="Calibri"/>
          <w:b w:val="0"/>
          <w:i w:val="0"/>
          <w:color w:val="222222"/>
          <w:sz w:val="20"/>
        </w:rPr>
        <w:t>✓ Covenant minute</w:t>
      </w:r>
    </w:p>
    <w:p>
      <w:pPr>
        <w:pStyle w:val="ListBullet"/>
        <w:spacing w:after="20"/>
      </w:pPr>
      <w:r>
        <w:rPr>
          <w:rFonts w:ascii="Calibri" w:hAnsi="Calibri"/>
          <w:b w:val="0"/>
          <w:i w:val="0"/>
          <w:color w:val="222222"/>
          <w:sz w:val="20"/>
        </w:rPr>
        <w:t>✓ Next-horizon briefing</w:t>
      </w:r>
    </w:p>
    <w:p>
      <w:pPr>
        <w:spacing w:before="240" w:after="100"/>
      </w:pPr>
      <w:r>
        <w:rPr>
          <w:rFonts w:ascii="Calibri" w:hAnsi="Calibri"/>
          <w:b/>
          <w:i w:val="0"/>
          <w:color w:val="1A3A5C"/>
          <w:sz w:val="26"/>
        </w:rPr>
        <w:t>11. Transformation Gates</w:t>
      </w:r>
    </w:p>
    <w:p>
      <w:pPr>
        <w:spacing w:after="80" w:before="0" w:line="259" w:lineRule="auto"/>
        <w:jc w:val="left"/>
      </w:pPr>
      <w:r>
        <w:rPr>
          <w:rFonts w:ascii="Calibri" w:hAnsi="Calibri"/>
          <w:b w:val="0"/>
          <w:i w:val="0"/>
          <w:color w:val="222222"/>
          <w:sz w:val="22"/>
        </w:rPr>
        <w:t>Do not advance only because a calendar year ended. Progression depends on capability evidence.</w:t>
      </w:r>
    </w:p>
    <w:p>
      <w:pPr>
        <w:spacing w:before="140" w:after="60"/>
      </w:pPr>
      <w:r>
        <w:rPr>
          <w:rFonts w:ascii="Calibri" w:hAnsi="Calibri"/>
          <w:b/>
          <w:i w:val="0"/>
          <w:color w:val="1A3A5C"/>
          <w:sz w:val="22"/>
        </w:rPr>
        <w:t>Gate evidence pack</w:t>
      </w:r>
    </w:p>
    <w:p>
      <w:pPr>
        <w:spacing w:after="40" w:before="0" w:line="259" w:lineRule="auto"/>
        <w:jc w:val="left"/>
      </w:pPr>
      <w:r>
        <w:rPr>
          <w:rFonts w:ascii="Calibri" w:hAnsi="Calibri"/>
          <w:b w:val="0"/>
          <w:i w:val="0"/>
          <w:color w:val="222222"/>
          <w:sz w:val="20"/>
        </w:rPr>
        <w:t>1. Stage scorecard</w:t>
      </w:r>
    </w:p>
    <w:p>
      <w:pPr>
        <w:spacing w:after="40" w:before="0" w:line="259" w:lineRule="auto"/>
        <w:jc w:val="left"/>
      </w:pPr>
      <w:r>
        <w:rPr>
          <w:rFonts w:ascii="Calibri" w:hAnsi="Calibri"/>
          <w:b w:val="0"/>
          <w:i w:val="0"/>
          <w:color w:val="222222"/>
          <w:sz w:val="20"/>
        </w:rPr>
        <w:t>2. Deliverables tracker</w:t>
      </w:r>
    </w:p>
    <w:p>
      <w:pPr>
        <w:spacing w:after="40" w:before="0" w:line="259" w:lineRule="auto"/>
        <w:jc w:val="left"/>
      </w:pPr>
      <w:r>
        <w:rPr>
          <w:rFonts w:ascii="Calibri" w:hAnsi="Calibri"/>
          <w:b w:val="0"/>
          <w:i w:val="0"/>
          <w:color w:val="222222"/>
          <w:sz w:val="20"/>
        </w:rPr>
        <w:t>3. Financial position</w:t>
      </w:r>
    </w:p>
    <w:p>
      <w:pPr>
        <w:spacing w:after="40" w:before="0" w:line="259" w:lineRule="auto"/>
        <w:jc w:val="left"/>
      </w:pPr>
      <w:r>
        <w:rPr>
          <w:rFonts w:ascii="Calibri" w:hAnsi="Calibri"/>
          <w:b w:val="0"/>
          <w:i w:val="0"/>
          <w:color w:val="222222"/>
          <w:sz w:val="20"/>
        </w:rPr>
        <w:t>4. Workforce readiness</w:t>
      </w:r>
    </w:p>
    <w:p>
      <w:pPr>
        <w:spacing w:after="40" w:before="0" w:line="259" w:lineRule="auto"/>
        <w:jc w:val="left"/>
      </w:pPr>
      <w:r>
        <w:rPr>
          <w:rFonts w:ascii="Calibri" w:hAnsi="Calibri"/>
          <w:b w:val="0"/>
          <w:i w:val="0"/>
          <w:color w:val="222222"/>
          <w:sz w:val="20"/>
        </w:rPr>
        <w:t>5. Risk register</w:t>
      </w:r>
    </w:p>
    <w:p>
      <w:pPr>
        <w:spacing w:after="40" w:before="0" w:line="259" w:lineRule="auto"/>
        <w:jc w:val="left"/>
      </w:pPr>
      <w:r>
        <w:rPr>
          <w:rFonts w:ascii="Calibri" w:hAnsi="Calibri"/>
          <w:b w:val="0"/>
          <w:i w:val="0"/>
          <w:color w:val="222222"/>
          <w:sz w:val="20"/>
        </w:rPr>
        <w:t>6. Patient safety report</w:t>
      </w:r>
    </w:p>
    <w:p>
      <w:pPr>
        <w:spacing w:after="40" w:before="0" w:line="259" w:lineRule="auto"/>
        <w:jc w:val="left"/>
      </w:pPr>
      <w:r>
        <w:rPr>
          <w:rFonts w:ascii="Calibri" w:hAnsi="Calibri"/>
          <w:b w:val="0"/>
          <w:i w:val="0"/>
          <w:color w:val="222222"/>
          <w:sz w:val="20"/>
        </w:rPr>
        <w:t>7. MEL dashboard</w:t>
      </w:r>
    </w:p>
    <w:p>
      <w:pPr>
        <w:spacing w:after="40" w:before="0" w:line="259" w:lineRule="auto"/>
        <w:jc w:val="left"/>
      </w:pPr>
      <w:r>
        <w:rPr>
          <w:rFonts w:ascii="Calibri" w:hAnsi="Calibri"/>
          <w:b w:val="0"/>
          <w:i w:val="0"/>
          <w:color w:val="222222"/>
          <w:sz w:val="20"/>
        </w:rPr>
        <w:t>8. Partnership status</w:t>
      </w:r>
    </w:p>
    <w:p>
      <w:pPr>
        <w:spacing w:after="40" w:before="0" w:line="259" w:lineRule="auto"/>
        <w:jc w:val="left"/>
      </w:pPr>
      <w:r>
        <w:rPr>
          <w:rFonts w:ascii="Calibri" w:hAnsi="Calibri"/>
          <w:b w:val="0"/>
          <w:i w:val="0"/>
          <w:color w:val="222222"/>
          <w:sz w:val="20"/>
        </w:rPr>
        <w:t>9. Lessons learned</w:t>
      </w:r>
    </w:p>
    <w:p>
      <w:pPr>
        <w:spacing w:after="40" w:before="0" w:line="259" w:lineRule="auto"/>
        <w:jc w:val="left"/>
      </w:pPr>
      <w:r>
        <w:rPr>
          <w:rFonts w:ascii="Calibri" w:hAnsi="Calibri"/>
          <w:b w:val="0"/>
          <w:i w:val="0"/>
          <w:color w:val="222222"/>
          <w:sz w:val="20"/>
        </w:rPr>
        <w:t>10. Management recommendation</w:t>
      </w:r>
    </w:p>
    <w:p>
      <w:pPr>
        <w:spacing w:before="140" w:after="60"/>
      </w:pPr>
      <w:r>
        <w:rPr>
          <w:rFonts w:ascii="Calibri" w:hAnsi="Calibri"/>
          <w:b/>
          <w:i w:val="0"/>
          <w:color w:val="1A3A5C"/>
          <w:sz w:val="22"/>
        </w:rPr>
        <w:t>Board decision options</w:t>
      </w:r>
    </w:p>
    <w:p>
      <w:pPr>
        <w:pStyle w:val="ListBullet"/>
        <w:spacing w:after="20"/>
      </w:pPr>
      <w:r>
        <w:rPr>
          <w:rFonts w:ascii="Calibri" w:hAnsi="Calibri"/>
          <w:b w:val="0"/>
          <w:i w:val="0"/>
          <w:color w:val="222222"/>
          <w:sz w:val="20"/>
        </w:rPr>
        <w:t>PROCEED</w:t>
      </w:r>
    </w:p>
    <w:p>
      <w:pPr>
        <w:pStyle w:val="ListBullet"/>
        <w:spacing w:after="20"/>
      </w:pPr>
      <w:r>
        <w:rPr>
          <w:rFonts w:ascii="Calibri" w:hAnsi="Calibri"/>
          <w:b w:val="0"/>
          <w:i w:val="0"/>
          <w:color w:val="222222"/>
          <w:sz w:val="20"/>
        </w:rPr>
        <w:t>PROCEED WITH CONDITIONS</w:t>
      </w:r>
    </w:p>
    <w:p>
      <w:pPr>
        <w:pStyle w:val="ListBullet"/>
        <w:spacing w:after="20"/>
      </w:pPr>
      <w:r>
        <w:rPr>
          <w:rFonts w:ascii="Calibri" w:hAnsi="Calibri"/>
          <w:b w:val="0"/>
          <w:i w:val="0"/>
          <w:color w:val="222222"/>
          <w:sz w:val="20"/>
        </w:rPr>
        <w:t>HOLD &amp; REMEDIATE</w:t>
      </w:r>
    </w:p>
    <w:p>
      <w:pPr>
        <w:pStyle w:val="ListBullet"/>
        <w:spacing w:after="20"/>
      </w:pPr>
      <w:r>
        <w:rPr>
          <w:rFonts w:ascii="Calibri" w:hAnsi="Calibri"/>
          <w:b w:val="0"/>
          <w:i w:val="0"/>
          <w:color w:val="222222"/>
          <w:sz w:val="20"/>
        </w:rPr>
        <w:t>REDESIGN SCOPE</w:t>
      </w:r>
    </w:p>
    <w:p>
      <w:pPr>
        <w:spacing w:before="140" w:after="60"/>
      </w:pPr>
      <w:r>
        <w:rPr>
          <w:rFonts w:ascii="Calibri" w:hAnsi="Calibri"/>
          <w:b/>
          <w:i w:val="0"/>
          <w:color w:val="1A3A5C"/>
          <w:sz w:val="22"/>
        </w:rPr>
        <w:t>Interpretation criteria (proposed for Board ratification)</w:t>
      </w:r>
    </w:p>
    <w:p>
      <w:pPr>
        <w:spacing w:after="80" w:before="0" w:line="259" w:lineRule="auto"/>
        <w:jc w:val="left"/>
      </w:pPr>
      <w:r>
        <w:rPr>
          <w:rFonts w:ascii="Calibri" w:hAnsi="Calibri"/>
          <w:b w:val="0"/>
          <w:i w:val="0"/>
          <w:color w:val="222222"/>
          <w:sz w:val="22"/>
        </w:rPr>
        <w:t>The bands below are a proposed institutional standard for Gate interpretation. They should be confirmed or amended by FairBanks leadership before being treated as binding thresholds.</w:t>
      </w:r>
    </w:p>
    <w:tbl>
      <w:tblPr>
        <w:tblStyle w:val="TableGrid"/>
        <w:tblW w:type="auto" w:w="0"/>
        <w:tblLook w:firstColumn="1" w:firstRow="1" w:lastColumn="0" w:lastRow="0" w:noHBand="0" w:noVBand="1" w:val="04A0"/>
      </w:tblPr>
      <w:tblGrid>
        <w:gridCol w:w="3264"/>
        <w:gridCol w:w="3264"/>
        <w:gridCol w:w="3264"/>
      </w:tblGrid>
      <w:tr>
        <w:tc>
          <w:tcPr>
            <w:tcW w:type="dxa" w:w="3264"/>
            <w:shd w:fill="1A3A5C" w:val="clear"/>
          </w:tcPr>
          <w:p>
            <w:r/>
            <w:r>
              <w:rPr>
                <w:rFonts w:ascii="Calibri" w:hAnsi="Calibri"/>
                <w:b/>
                <w:i w:val="0"/>
                <w:color w:val="FFFFFF"/>
                <w:sz w:val="18"/>
              </w:rPr>
              <w:t>Rating</w:t>
            </w:r>
          </w:p>
        </w:tc>
        <w:tc>
          <w:tcPr>
            <w:tcW w:type="dxa" w:w="3264"/>
            <w:shd w:fill="1A3A5C" w:val="clear"/>
          </w:tcPr>
          <w:p>
            <w:r/>
            <w:r>
              <w:rPr>
                <w:rFonts w:ascii="Calibri" w:hAnsi="Calibri"/>
                <w:b/>
                <w:i w:val="0"/>
                <w:color w:val="FFFFFF"/>
                <w:sz w:val="18"/>
              </w:rPr>
              <w:t>Meaning (proposed)</w:t>
            </w:r>
          </w:p>
        </w:tc>
        <w:tc>
          <w:tcPr>
            <w:tcW w:type="dxa" w:w="3264"/>
            <w:shd w:fill="1A3A5C" w:val="clear"/>
          </w:tcPr>
          <w:p>
            <w:r/>
            <w:r>
              <w:rPr>
                <w:rFonts w:ascii="Calibri" w:hAnsi="Calibri"/>
                <w:b/>
                <w:i w:val="0"/>
                <w:color w:val="FFFFFF"/>
                <w:sz w:val="18"/>
              </w:rPr>
              <w:t>Typical Gate leaning</w:t>
            </w:r>
          </w:p>
        </w:tc>
      </w:tr>
      <w:tr>
        <w:tc>
          <w:tcPr>
            <w:tcW w:type="dxa" w:w="3264"/>
          </w:tcPr>
          <w:p>
            <w:r/>
            <w:r>
              <w:rPr>
                <w:rFonts w:ascii="Calibri" w:hAnsi="Calibri"/>
                <w:b w:val="0"/>
                <w:i w:val="0"/>
                <w:color w:val="222222"/>
                <w:sz w:val="18"/>
              </w:rPr>
              <w:t>Green</w:t>
            </w:r>
          </w:p>
        </w:tc>
        <w:tc>
          <w:tcPr>
            <w:tcW w:type="dxa" w:w="3264"/>
          </w:tcPr>
          <w:p>
            <w:r/>
            <w:r>
              <w:rPr>
                <w:rFonts w:ascii="Calibri" w:hAnsi="Calibri"/>
                <w:b w:val="0"/>
                <w:i w:val="0"/>
                <w:color w:val="222222"/>
                <w:sz w:val="18"/>
              </w:rPr>
              <w:t>≥90% critical deliverables complete; no unresolved critical patient-safety issue; finance and workforce capacity confirmed for next stage</w:t>
            </w:r>
          </w:p>
        </w:tc>
        <w:tc>
          <w:tcPr>
            <w:tcW w:type="dxa" w:w="3264"/>
          </w:tcPr>
          <w:p>
            <w:r/>
            <w:r>
              <w:rPr>
                <w:rFonts w:ascii="Calibri" w:hAnsi="Calibri"/>
                <w:b w:val="0"/>
                <w:i w:val="0"/>
                <w:color w:val="222222"/>
                <w:sz w:val="18"/>
              </w:rPr>
              <w:t>Proceed</w:t>
            </w:r>
          </w:p>
        </w:tc>
      </w:tr>
      <w:tr>
        <w:tc>
          <w:tcPr>
            <w:tcW w:type="dxa" w:w="3264"/>
          </w:tcPr>
          <w:p>
            <w:r/>
            <w:r>
              <w:rPr>
                <w:rFonts w:ascii="Calibri" w:hAnsi="Calibri"/>
                <w:b w:val="0"/>
                <w:i w:val="0"/>
                <w:color w:val="222222"/>
                <w:sz w:val="18"/>
              </w:rPr>
              <w:t>Amber</w:t>
            </w:r>
          </w:p>
        </w:tc>
        <w:tc>
          <w:tcPr>
            <w:tcW w:type="dxa" w:w="3264"/>
          </w:tcPr>
          <w:p>
            <w:r/>
            <w:r>
              <w:rPr>
                <w:rFonts w:ascii="Calibri" w:hAnsi="Calibri"/>
                <w:b w:val="0"/>
                <w:i w:val="0"/>
                <w:color w:val="222222"/>
                <w:sz w:val="18"/>
              </w:rPr>
              <w:t>70–89% critical deliverables complete; manageable risks; documented recovery plan with owners and dates</w:t>
            </w:r>
          </w:p>
        </w:tc>
        <w:tc>
          <w:tcPr>
            <w:tcW w:type="dxa" w:w="3264"/>
          </w:tcPr>
          <w:p>
            <w:r/>
            <w:r>
              <w:rPr>
                <w:rFonts w:ascii="Calibri" w:hAnsi="Calibri"/>
                <w:b w:val="0"/>
                <w:i w:val="0"/>
                <w:color w:val="222222"/>
                <w:sz w:val="18"/>
              </w:rPr>
              <w:t>Proceed with conditions or Hold</w:t>
            </w:r>
          </w:p>
        </w:tc>
      </w:tr>
      <w:tr>
        <w:tc>
          <w:tcPr>
            <w:tcW w:type="dxa" w:w="3264"/>
          </w:tcPr>
          <w:p>
            <w:r/>
            <w:r>
              <w:rPr>
                <w:rFonts w:ascii="Calibri" w:hAnsi="Calibri"/>
                <w:b w:val="0"/>
                <w:i w:val="0"/>
                <w:color w:val="222222"/>
                <w:sz w:val="18"/>
              </w:rPr>
              <w:t>Red</w:t>
            </w:r>
          </w:p>
        </w:tc>
        <w:tc>
          <w:tcPr>
            <w:tcW w:type="dxa" w:w="3264"/>
          </w:tcPr>
          <w:p>
            <w:r/>
            <w:r>
              <w:rPr>
                <w:rFonts w:ascii="Calibri" w:hAnsi="Calibri"/>
                <w:b w:val="0"/>
                <w:i w:val="0"/>
                <w:color w:val="222222"/>
                <w:sz w:val="18"/>
              </w:rPr>
              <w:t>&lt;70% critical deliverables; material safety/financial/governance concern; insufficient capacity for next stage</w:t>
            </w:r>
          </w:p>
        </w:tc>
        <w:tc>
          <w:tcPr>
            <w:tcW w:type="dxa" w:w="3264"/>
          </w:tcPr>
          <w:p>
            <w:r/>
            <w:r>
              <w:rPr>
                <w:rFonts w:ascii="Calibri" w:hAnsi="Calibri"/>
                <w:b w:val="0"/>
                <w:i w:val="0"/>
                <w:color w:val="222222"/>
                <w:sz w:val="18"/>
              </w:rPr>
              <w:t>Hold &amp; remediate or Redesign scope</w:t>
            </w:r>
          </w:p>
        </w:tc>
      </w:tr>
    </w:tbl>
    <w:p/>
    <w:p>
      <w:pPr>
        <w:spacing w:after="80" w:before="0" w:line="259" w:lineRule="auto"/>
        <w:jc w:val="left"/>
      </w:pPr>
      <w:r>
        <w:rPr>
          <w:rFonts w:ascii="Calibri" w:hAnsi="Calibri"/>
          <w:b w:val="0"/>
          <w:i w:val="0"/>
          <w:color w:val="222222"/>
          <w:sz w:val="22"/>
        </w:rPr>
        <w:t>Critical patient-safety, safeguarding, or legal non-compliance overrides percentage scores and defaults to Hold / Redesign until resolved.</w:t>
      </w:r>
    </w:p>
    <w:p>
      <w:pPr>
        <w:pageBreakBefore/>
        <w:spacing w:after="160"/>
        <w:jc w:val="center"/>
      </w:pPr>
      <w:r>
        <w:rPr>
          <w:rFonts w:ascii="Calibri" w:hAnsi="Calibri"/>
          <w:b/>
          <w:i w:val="0"/>
          <w:color w:val="1A3A5C"/>
          <w:sz w:val="28"/>
        </w:rPr>
        <w:t>PART IV — MANAGEMENT RHYTHM</w:t>
      </w:r>
    </w:p>
    <w:p>
      <w:pPr>
        <w:spacing w:before="240" w:after="100"/>
      </w:pPr>
      <w:r>
        <w:rPr>
          <w:rFonts w:ascii="Calibri" w:hAnsi="Calibri"/>
          <w:b/>
          <w:i w:val="0"/>
          <w:color w:val="1A3A5C"/>
          <w:sz w:val="26"/>
        </w:rPr>
        <w:t>12. Annual Planning</w:t>
      </w:r>
    </w:p>
    <w:p>
      <w:pPr>
        <w:spacing w:after="80" w:before="0" w:line="259" w:lineRule="auto"/>
        <w:jc w:val="left"/>
      </w:pPr>
      <w:r>
        <w:rPr>
          <w:rFonts w:ascii="Calibri" w:hAnsi="Calibri"/>
          <w:b w:val="0"/>
          <w:i w:val="0"/>
          <w:color w:val="222222"/>
          <w:sz w:val="22"/>
        </w:rPr>
        <w:t>Every department completes an Annual Department Work Plan (Toolkit Tool 1) aligned to a Blueprint priority and stage.</w:t>
      </w:r>
    </w:p>
    <w:p>
      <w:pPr>
        <w:pStyle w:val="ListBullet"/>
        <w:spacing w:after="20"/>
      </w:pPr>
      <w:r>
        <w:rPr>
          <w:rFonts w:ascii="Calibri" w:hAnsi="Calibri"/>
          <w:b w:val="0"/>
          <w:i w:val="0"/>
          <w:color w:val="222222"/>
          <w:sz w:val="20"/>
        </w:rPr>
        <w:t>Strategic Priority · Blueprint Anchor · Annual Objective · Key Activities</w:t>
      </w:r>
    </w:p>
    <w:p>
      <w:pPr>
        <w:pStyle w:val="ListBullet"/>
        <w:spacing w:after="20"/>
      </w:pPr>
      <w:r>
        <w:rPr>
          <w:rFonts w:ascii="Calibri" w:hAnsi="Calibri"/>
          <w:b w:val="0"/>
          <w:i w:val="0"/>
          <w:color w:val="222222"/>
          <w:sz w:val="20"/>
        </w:rPr>
        <w:t>Responsible Person · Budget · KPI · Target · Timeline · Risks · Evidence</w:t>
      </w:r>
    </w:p>
    <w:p>
      <w:pPr>
        <w:spacing w:before="240" w:after="100"/>
      </w:pPr>
      <w:r>
        <w:rPr>
          <w:rFonts w:ascii="Calibri" w:hAnsi="Calibri"/>
          <w:b/>
          <w:i w:val="0"/>
          <w:color w:val="1A3A5C"/>
          <w:sz w:val="26"/>
        </w:rPr>
        <w:t>13. Monthly Performance Review</w:t>
      </w:r>
    </w:p>
    <w:p>
      <w:pPr>
        <w:spacing w:after="40" w:before="0" w:line="259" w:lineRule="auto"/>
        <w:jc w:val="left"/>
      </w:pPr>
      <w:r>
        <w:rPr>
          <w:rFonts w:ascii="Calibri" w:hAnsi="Calibri"/>
          <w:b w:val="0"/>
          <w:i w:val="0"/>
          <w:color w:val="222222"/>
          <w:sz w:val="20"/>
        </w:rPr>
        <w:t>1. What did we commit to?</w:t>
      </w:r>
    </w:p>
    <w:p>
      <w:pPr>
        <w:spacing w:after="40" w:before="0" w:line="259" w:lineRule="auto"/>
        <w:jc w:val="left"/>
      </w:pPr>
      <w:r>
        <w:rPr>
          <w:rFonts w:ascii="Calibri" w:hAnsi="Calibri"/>
          <w:b w:val="0"/>
          <w:i w:val="0"/>
          <w:color w:val="222222"/>
          <w:sz w:val="20"/>
        </w:rPr>
        <w:t>2. What was achieved?</w:t>
      </w:r>
    </w:p>
    <w:p>
      <w:pPr>
        <w:spacing w:after="40" w:before="0" w:line="259" w:lineRule="auto"/>
        <w:jc w:val="left"/>
      </w:pPr>
      <w:r>
        <w:rPr>
          <w:rFonts w:ascii="Calibri" w:hAnsi="Calibri"/>
          <w:b w:val="0"/>
          <w:i w:val="0"/>
          <w:color w:val="222222"/>
          <w:sz w:val="20"/>
        </w:rPr>
        <w:t>3. What was not achieved?</w:t>
      </w:r>
    </w:p>
    <w:p>
      <w:pPr>
        <w:spacing w:after="40" w:before="0" w:line="259" w:lineRule="auto"/>
        <w:jc w:val="left"/>
      </w:pPr>
      <w:r>
        <w:rPr>
          <w:rFonts w:ascii="Calibri" w:hAnsi="Calibri"/>
          <w:b w:val="0"/>
          <w:i w:val="0"/>
          <w:color w:val="222222"/>
          <w:sz w:val="20"/>
        </w:rPr>
        <w:t>4. Why?</w:t>
      </w:r>
    </w:p>
    <w:p>
      <w:pPr>
        <w:spacing w:after="40" w:before="0" w:line="259" w:lineRule="auto"/>
        <w:jc w:val="left"/>
      </w:pPr>
      <w:r>
        <w:rPr>
          <w:rFonts w:ascii="Calibri" w:hAnsi="Calibri"/>
          <w:b w:val="0"/>
          <w:i w:val="0"/>
          <w:color w:val="222222"/>
          <w:sz w:val="20"/>
        </w:rPr>
        <w:t>5. What risks emerged?</w:t>
      </w:r>
    </w:p>
    <w:p>
      <w:pPr>
        <w:spacing w:after="40" w:before="0" w:line="259" w:lineRule="auto"/>
        <w:jc w:val="left"/>
      </w:pPr>
      <w:r>
        <w:rPr>
          <w:rFonts w:ascii="Calibri" w:hAnsi="Calibri"/>
          <w:b w:val="0"/>
          <w:i w:val="0"/>
          <w:color w:val="222222"/>
          <w:sz w:val="20"/>
        </w:rPr>
        <w:t>6. What corrective action is required?</w:t>
      </w:r>
    </w:p>
    <w:p>
      <w:pPr>
        <w:spacing w:after="40" w:before="0" w:line="259" w:lineRule="auto"/>
        <w:jc w:val="left"/>
      </w:pPr>
      <w:r>
        <w:rPr>
          <w:rFonts w:ascii="Calibri" w:hAnsi="Calibri"/>
          <w:b w:val="0"/>
          <w:i w:val="0"/>
          <w:color w:val="222222"/>
          <w:sz w:val="20"/>
        </w:rPr>
        <w:t>7. Who owns the action?</w:t>
      </w:r>
    </w:p>
    <w:p>
      <w:pPr>
        <w:spacing w:after="40" w:before="0" w:line="259" w:lineRule="auto"/>
        <w:jc w:val="left"/>
      </w:pPr>
      <w:r>
        <w:rPr>
          <w:rFonts w:ascii="Calibri" w:hAnsi="Calibri"/>
          <w:b w:val="0"/>
          <w:i w:val="0"/>
          <w:color w:val="222222"/>
          <w:sz w:val="20"/>
        </w:rPr>
        <w:t>8. When will it be completed?</w:t>
      </w:r>
    </w:p>
    <w:p>
      <w:pPr>
        <w:spacing w:after="40" w:before="0" w:line="259" w:lineRule="auto"/>
        <w:jc w:val="left"/>
      </w:pPr>
      <w:r>
        <w:rPr>
          <w:rFonts w:ascii="Calibri" w:hAnsi="Calibri"/>
          <w:b w:val="0"/>
          <w:i w:val="0"/>
          <w:color w:val="222222"/>
          <w:sz w:val="20"/>
        </w:rPr>
        <w:t>9. What evidence will demonstrate completion?</w:t>
      </w:r>
    </w:p>
    <w:p>
      <w:pPr>
        <w:spacing w:before="240" w:after="100"/>
      </w:pPr>
      <w:r>
        <w:rPr>
          <w:rFonts w:ascii="Calibri" w:hAnsi="Calibri"/>
          <w:b/>
          <w:i w:val="0"/>
          <w:color w:val="1A3A5C"/>
          <w:sz w:val="26"/>
        </w:rPr>
        <w:t>14. Quarterly Transformation Review</w:t>
      </w:r>
    </w:p>
    <w:p>
      <w:pPr>
        <w:spacing w:after="80" w:before="0" w:line="259" w:lineRule="auto"/>
        <w:jc w:val="left"/>
      </w:pPr>
      <w:r>
        <w:rPr>
          <w:rFonts w:ascii="Calibri" w:hAnsi="Calibri"/>
          <w:b w:val="0"/>
          <w:i w:val="0"/>
          <w:color w:val="222222"/>
          <w:sz w:val="22"/>
        </w:rPr>
        <w:t>RAG rate each domain: Green On Track · Amber At Risk · Red Off Track.</w:t>
      </w:r>
    </w:p>
    <w:p>
      <w:pPr>
        <w:pStyle w:val="ListBullet"/>
        <w:spacing w:after="20"/>
      </w:pPr>
      <w:r>
        <w:rPr>
          <w:rFonts w:ascii="Calibri" w:hAnsi="Calibri"/>
          <w:b w:val="0"/>
          <w:i w:val="0"/>
          <w:color w:val="222222"/>
          <w:sz w:val="20"/>
        </w:rPr>
        <w:t>Clinical</w:t>
      </w:r>
    </w:p>
    <w:p>
      <w:pPr>
        <w:pStyle w:val="ListBullet"/>
        <w:spacing w:after="20"/>
      </w:pPr>
      <w:r>
        <w:rPr>
          <w:rFonts w:ascii="Calibri" w:hAnsi="Calibri"/>
          <w:b w:val="0"/>
          <w:i w:val="0"/>
          <w:color w:val="222222"/>
          <w:sz w:val="20"/>
        </w:rPr>
        <w:t>Community</w:t>
      </w:r>
    </w:p>
    <w:p>
      <w:pPr>
        <w:pStyle w:val="ListBullet"/>
        <w:spacing w:after="20"/>
      </w:pPr>
      <w:r>
        <w:rPr>
          <w:rFonts w:ascii="Calibri" w:hAnsi="Calibri"/>
          <w:b w:val="0"/>
          <w:i w:val="0"/>
          <w:color w:val="222222"/>
          <w:sz w:val="20"/>
        </w:rPr>
        <w:t>Finance</w:t>
      </w:r>
    </w:p>
    <w:p>
      <w:pPr>
        <w:pStyle w:val="ListBullet"/>
        <w:spacing w:after="20"/>
      </w:pPr>
      <w:r>
        <w:rPr>
          <w:rFonts w:ascii="Calibri" w:hAnsi="Calibri"/>
          <w:b w:val="0"/>
          <w:i w:val="0"/>
          <w:color w:val="222222"/>
          <w:sz w:val="20"/>
        </w:rPr>
        <w:t>People</w:t>
      </w:r>
    </w:p>
    <w:p>
      <w:pPr>
        <w:pStyle w:val="ListBullet"/>
        <w:spacing w:after="20"/>
      </w:pPr>
      <w:r>
        <w:rPr>
          <w:rFonts w:ascii="Calibri" w:hAnsi="Calibri"/>
          <w:b w:val="0"/>
          <w:i w:val="0"/>
          <w:color w:val="222222"/>
          <w:sz w:val="20"/>
        </w:rPr>
        <w:t>Digital</w:t>
      </w:r>
    </w:p>
    <w:p>
      <w:pPr>
        <w:pStyle w:val="ListBullet"/>
        <w:spacing w:after="20"/>
      </w:pPr>
      <w:r>
        <w:rPr>
          <w:rFonts w:ascii="Calibri" w:hAnsi="Calibri"/>
          <w:b w:val="0"/>
          <w:i w:val="0"/>
          <w:color w:val="222222"/>
          <w:sz w:val="20"/>
        </w:rPr>
        <w:t>Partnerships</w:t>
      </w:r>
    </w:p>
    <w:p>
      <w:pPr>
        <w:pStyle w:val="ListBullet"/>
        <w:spacing w:after="20"/>
      </w:pPr>
      <w:r>
        <w:rPr>
          <w:rFonts w:ascii="Calibri" w:hAnsi="Calibri"/>
          <w:b w:val="0"/>
          <w:i w:val="0"/>
          <w:color w:val="222222"/>
          <w:sz w:val="20"/>
        </w:rPr>
        <w:t>Research</w:t>
      </w:r>
    </w:p>
    <w:p>
      <w:pPr>
        <w:pStyle w:val="ListBullet"/>
        <w:spacing w:after="20"/>
      </w:pPr>
      <w:r>
        <w:rPr>
          <w:rFonts w:ascii="Calibri" w:hAnsi="Calibri"/>
          <w:b w:val="0"/>
          <w:i w:val="0"/>
          <w:color w:val="222222"/>
          <w:sz w:val="20"/>
        </w:rPr>
        <w:t>Risk</w:t>
      </w:r>
    </w:p>
    <w:p>
      <w:pPr>
        <w:pStyle w:val="ListBullet"/>
        <w:spacing w:after="20"/>
      </w:pPr>
      <w:r>
        <w:rPr>
          <w:rFonts w:ascii="Calibri" w:hAnsi="Calibri"/>
          <w:b w:val="0"/>
          <w:i w:val="0"/>
          <w:color w:val="222222"/>
          <w:sz w:val="20"/>
        </w:rPr>
        <w:t>MEL</w:t>
      </w:r>
    </w:p>
    <w:p>
      <w:pPr>
        <w:spacing w:before="240" w:after="100"/>
      </w:pPr>
      <w:r>
        <w:rPr>
          <w:rFonts w:ascii="Calibri" w:hAnsi="Calibri"/>
          <w:b/>
          <w:i w:val="0"/>
          <w:color w:val="1A3A5C"/>
          <w:sz w:val="26"/>
        </w:rPr>
        <w:t>15. Annual Institutional Review</w:t>
      </w:r>
    </w:p>
    <w:p>
      <w:pPr>
        <w:pStyle w:val="ListBullet"/>
        <w:spacing w:after="20"/>
      </w:pPr>
      <w:r>
        <w:rPr>
          <w:rFonts w:ascii="Calibri" w:hAnsi="Calibri"/>
          <w:b w:val="0"/>
          <w:i w:val="0"/>
          <w:color w:val="222222"/>
          <w:sz w:val="20"/>
        </w:rPr>
        <w:t>Stage review against Blueprint Chapter 10</w:t>
      </w:r>
    </w:p>
    <w:p>
      <w:pPr>
        <w:pStyle w:val="ListBullet"/>
        <w:spacing w:after="20"/>
      </w:pPr>
      <w:r>
        <w:rPr>
          <w:rFonts w:ascii="Calibri" w:hAnsi="Calibri"/>
          <w:b w:val="0"/>
          <w:i w:val="0"/>
          <w:color w:val="222222"/>
          <w:sz w:val="20"/>
        </w:rPr>
        <w:t>Policy/SOP refresh</w:t>
      </w:r>
    </w:p>
    <w:p>
      <w:pPr>
        <w:pStyle w:val="ListBullet"/>
        <w:spacing w:after="20"/>
      </w:pPr>
      <w:r>
        <w:rPr>
          <w:rFonts w:ascii="Calibri" w:hAnsi="Calibri"/>
          <w:b w:val="0"/>
          <w:i w:val="0"/>
          <w:color w:val="222222"/>
          <w:sz w:val="20"/>
        </w:rPr>
        <w:t>Covenant reaffirmation</w:t>
      </w:r>
    </w:p>
    <w:p>
      <w:pPr>
        <w:pStyle w:val="ListBullet"/>
        <w:spacing w:after="20"/>
      </w:pPr>
      <w:r>
        <w:rPr>
          <w:rFonts w:ascii="Calibri" w:hAnsi="Calibri"/>
          <w:b w:val="0"/>
          <w:i w:val="0"/>
          <w:color w:val="222222"/>
          <w:sz w:val="20"/>
        </w:rPr>
        <w:t>Next-year plan within 2027–2032</w:t>
      </w:r>
    </w:p>
    <w:p>
      <w:pPr>
        <w:pStyle w:val="ListBullet"/>
        <w:spacing w:after="20"/>
      </w:pPr>
      <w:r>
        <w:rPr>
          <w:rFonts w:ascii="Calibri" w:hAnsi="Calibri"/>
          <w:b w:val="0"/>
          <w:i w:val="0"/>
          <w:color w:val="222222"/>
          <w:sz w:val="20"/>
        </w:rPr>
        <w:t>Board Gate decision if at a stage boundary</w:t>
      </w:r>
    </w:p>
    <w:p>
      <w:pPr>
        <w:pageBreakBefore/>
        <w:spacing w:after="160"/>
        <w:jc w:val="center"/>
      </w:pPr>
      <w:r>
        <w:rPr>
          <w:rFonts w:ascii="Calibri" w:hAnsi="Calibri"/>
          <w:b/>
          <w:i w:val="0"/>
          <w:color w:val="1A3A5C"/>
          <w:sz w:val="28"/>
        </w:rPr>
        <w:t>PART V — PERFORMANCE AND LEARNING</w:t>
      </w:r>
    </w:p>
    <w:p>
      <w:pPr>
        <w:spacing w:before="240" w:after="100"/>
      </w:pPr>
      <w:r>
        <w:rPr>
          <w:rFonts w:ascii="Calibri" w:hAnsi="Calibri"/>
          <w:b/>
          <w:i w:val="0"/>
          <w:color w:val="1A3A5C"/>
          <w:sz w:val="26"/>
        </w:rPr>
        <w:t>16. MEL and Dashboards</w:t>
      </w:r>
    </w:p>
    <w:p>
      <w:pPr>
        <w:pStyle w:val="ListBullet"/>
        <w:spacing w:after="20"/>
      </w:pPr>
      <w:r>
        <w:rPr>
          <w:rFonts w:ascii="Calibri" w:hAnsi="Calibri"/>
          <w:b w:val="0"/>
          <w:i w:val="0"/>
          <w:color w:val="222222"/>
          <w:sz w:val="20"/>
        </w:rPr>
        <w:t>Small vital indicator set per department</w:t>
      </w:r>
    </w:p>
    <w:p>
      <w:pPr>
        <w:pStyle w:val="ListBullet"/>
        <w:spacing w:after="20"/>
      </w:pPr>
      <w:r>
        <w:rPr>
          <w:rFonts w:ascii="Calibri" w:hAnsi="Calibri"/>
          <w:b w:val="0"/>
          <w:i w:val="0"/>
          <w:color w:val="222222"/>
          <w:sz w:val="20"/>
        </w:rPr>
        <w:t>Clear owner, source, frequency, corrective path</w:t>
      </w:r>
    </w:p>
    <w:p>
      <w:pPr>
        <w:pStyle w:val="ListBullet"/>
        <w:spacing w:after="20"/>
      </w:pPr>
      <w:r>
        <w:rPr>
          <w:rFonts w:ascii="Calibri" w:hAnsi="Calibri"/>
          <w:b w:val="0"/>
          <w:i w:val="0"/>
          <w:color w:val="222222"/>
          <w:sz w:val="20"/>
        </w:rPr>
        <w:t>Review monthly; deep-dive quarterly</w:t>
      </w:r>
    </w:p>
    <w:p>
      <w:pPr>
        <w:pStyle w:val="ListBullet"/>
        <w:spacing w:after="20"/>
      </w:pPr>
      <w:r>
        <w:rPr>
          <w:rFonts w:ascii="Calibri" w:hAnsi="Calibri"/>
          <w:b w:val="0"/>
          <w:i w:val="0"/>
          <w:color w:val="222222"/>
          <w:sz w:val="20"/>
        </w:rPr>
        <w:t>Escalate persistent red ratings</w:t>
      </w:r>
    </w:p>
    <w:p>
      <w:pPr>
        <w:spacing w:before="240" w:after="100"/>
      </w:pPr>
      <w:r>
        <w:rPr>
          <w:rFonts w:ascii="Calibri" w:hAnsi="Calibri"/>
          <w:b/>
          <w:i w:val="0"/>
          <w:color w:val="1A3A5C"/>
          <w:sz w:val="26"/>
        </w:rPr>
        <w:t>17. FMM Self-Assessment</w:t>
      </w:r>
    </w:p>
    <w:p>
      <w:pPr>
        <w:spacing w:after="80" w:before="0" w:line="259" w:lineRule="auto"/>
        <w:jc w:val="left"/>
      </w:pPr>
      <w:r>
        <w:rPr>
          <w:rFonts w:ascii="Calibri" w:hAnsi="Calibri"/>
          <w:b w:val="0"/>
          <w:i w:val="0"/>
          <w:color w:val="222222"/>
          <w:sz w:val="22"/>
        </w:rPr>
        <w:t>Use FairBanks Maturity Model quarterly on priority dimensions. Scores guide capability building — not vanity.</w:t>
      </w:r>
    </w:p>
    <w:p>
      <w:pPr>
        <w:spacing w:before="240" w:after="100"/>
      </w:pPr>
      <w:r>
        <w:rPr>
          <w:rFonts w:ascii="Calibri" w:hAnsi="Calibri"/>
          <w:b/>
          <w:i w:val="0"/>
          <w:color w:val="1A3A5C"/>
          <w:sz w:val="26"/>
        </w:rPr>
        <w:t>18. Risk Management</w:t>
      </w:r>
    </w:p>
    <w:p>
      <w:pPr>
        <w:spacing w:after="80" w:before="0" w:line="259" w:lineRule="auto"/>
        <w:jc w:val="left"/>
      </w:pPr>
      <w:r>
        <w:rPr>
          <w:rFonts w:ascii="Calibri" w:hAnsi="Calibri"/>
          <w:b w:val="0"/>
          <w:i w:val="0"/>
          <w:color w:val="222222"/>
          <w:sz w:val="22"/>
        </w:rPr>
        <w:t>Review risks monthly (management) and quarterly (Board). Use Toolkit Tool 5.</w:t>
      </w:r>
    </w:p>
    <w:p>
      <w:pPr>
        <w:spacing w:before="240" w:after="100"/>
      </w:pPr>
      <w:r>
        <w:rPr>
          <w:rFonts w:ascii="Calibri" w:hAnsi="Calibri"/>
          <w:b/>
          <w:i w:val="0"/>
          <w:color w:val="1A3A5C"/>
          <w:sz w:val="26"/>
        </w:rPr>
        <w:t>19. Learning and Knowledge Management</w:t>
      </w:r>
    </w:p>
    <w:p>
      <w:pPr>
        <w:pStyle w:val="ListBullet"/>
        <w:spacing w:after="20"/>
      </w:pPr>
      <w:r>
        <w:rPr>
          <w:rFonts w:ascii="Calibri" w:hAnsi="Calibri"/>
          <w:b w:val="0"/>
          <w:i w:val="0"/>
          <w:color w:val="222222"/>
          <w:sz w:val="20"/>
        </w:rPr>
        <w:t>Capture lessons after projects, incidents and Gates</w:t>
      </w:r>
    </w:p>
    <w:p>
      <w:pPr>
        <w:pStyle w:val="ListBullet"/>
        <w:spacing w:after="20"/>
      </w:pPr>
      <w:r>
        <w:rPr>
          <w:rFonts w:ascii="Calibri" w:hAnsi="Calibri"/>
          <w:b w:val="0"/>
          <w:i w:val="0"/>
          <w:color w:val="222222"/>
          <w:sz w:val="20"/>
        </w:rPr>
        <w:t>Store where successors can find them</w:t>
      </w:r>
    </w:p>
    <w:p>
      <w:pPr>
        <w:pStyle w:val="ListBullet"/>
        <w:spacing w:after="20"/>
      </w:pPr>
      <w:r>
        <w:rPr>
          <w:rFonts w:ascii="Calibri" w:hAnsi="Calibri"/>
          <w:b w:val="0"/>
          <w:i w:val="0"/>
          <w:color w:val="222222"/>
          <w:sz w:val="20"/>
        </w:rPr>
        <w:t>Convert repeated lessons into SOP/training updates</w:t>
      </w:r>
    </w:p>
    <w:p>
      <w:pPr>
        <w:pStyle w:val="ListBullet"/>
        <w:spacing w:after="20"/>
      </w:pPr>
      <w:r>
        <w:rPr>
          <w:rFonts w:ascii="Calibri" w:hAnsi="Calibri"/>
          <w:b w:val="0"/>
          <w:i w:val="0"/>
          <w:color w:val="222222"/>
          <w:sz w:val="20"/>
        </w:rPr>
        <w:t>Never scale innovation without a recorded learning note</w:t>
      </w:r>
    </w:p>
    <w:p>
      <w:pPr>
        <w:spacing w:before="240" w:after="100"/>
      </w:pPr>
      <w:r>
        <w:rPr>
          <w:rFonts w:ascii="Calibri" w:hAnsi="Calibri"/>
          <w:b/>
          <w:i w:val="0"/>
          <w:color w:val="1A3A5C"/>
          <w:sz w:val="26"/>
        </w:rPr>
        <w:t>19A. Evidence Standards</w:t>
      </w:r>
    </w:p>
    <w:p>
      <w:pPr>
        <w:spacing w:after="80" w:before="0" w:line="259" w:lineRule="auto"/>
        <w:jc w:val="left"/>
      </w:pPr>
      <w:r>
        <w:rPr>
          <w:rFonts w:ascii="Calibri" w:hAnsi="Calibri"/>
          <w:b w:val="0"/>
          <w:i w:val="0"/>
          <w:color w:val="222222"/>
          <w:sz w:val="22"/>
        </w:rPr>
        <w:t>Evidence used for reviews and Gates should be:</w:t>
      </w:r>
    </w:p>
    <w:p>
      <w:pPr>
        <w:pStyle w:val="ListBullet"/>
        <w:spacing w:after="20"/>
      </w:pPr>
      <w:r>
        <w:rPr>
          <w:rFonts w:ascii="Calibri" w:hAnsi="Calibri"/>
          <w:b w:val="0"/>
          <w:i w:val="0"/>
          <w:color w:val="222222"/>
          <w:sz w:val="20"/>
        </w:rPr>
        <w:t>Relevant — linked to the objective</w:t>
      </w:r>
    </w:p>
    <w:p>
      <w:pPr>
        <w:pStyle w:val="ListBullet"/>
        <w:spacing w:after="20"/>
      </w:pPr>
      <w:r>
        <w:rPr>
          <w:rFonts w:ascii="Calibri" w:hAnsi="Calibri"/>
          <w:b w:val="0"/>
          <w:i w:val="0"/>
          <w:color w:val="222222"/>
          <w:sz w:val="20"/>
        </w:rPr>
        <w:t>Verifiable — someone else can confirm it</w:t>
      </w:r>
    </w:p>
    <w:p>
      <w:pPr>
        <w:pStyle w:val="ListBullet"/>
        <w:spacing w:after="20"/>
      </w:pPr>
      <w:r>
        <w:rPr>
          <w:rFonts w:ascii="Calibri" w:hAnsi="Calibri"/>
          <w:b w:val="0"/>
          <w:i w:val="0"/>
          <w:color w:val="222222"/>
          <w:sz w:val="20"/>
        </w:rPr>
        <w:t>Current — reflects the reporting period</w:t>
      </w:r>
    </w:p>
    <w:p>
      <w:pPr>
        <w:pStyle w:val="ListBullet"/>
        <w:spacing w:after="20"/>
      </w:pPr>
      <w:r>
        <w:rPr>
          <w:rFonts w:ascii="Calibri" w:hAnsi="Calibri"/>
          <w:b w:val="0"/>
          <w:i w:val="0"/>
          <w:color w:val="222222"/>
          <w:sz w:val="20"/>
        </w:rPr>
        <w:t>Traceable — source is identifiable</w:t>
      </w:r>
    </w:p>
    <w:p>
      <w:pPr>
        <w:pStyle w:val="ListBullet"/>
        <w:spacing w:after="20"/>
      </w:pPr>
      <w:r>
        <w:rPr>
          <w:rFonts w:ascii="Calibri" w:hAnsi="Calibri"/>
          <w:b w:val="0"/>
          <w:i w:val="0"/>
          <w:color w:val="222222"/>
          <w:sz w:val="20"/>
        </w:rPr>
        <w:t>Actionable — supports a decision</w:t>
      </w:r>
    </w:p>
    <w:p>
      <w:pPr>
        <w:spacing w:after="120" w:before="80" w:line="259" w:lineRule="auto"/>
        <w:jc w:val="center"/>
      </w:pPr>
      <w:r>
        <w:rPr>
          <w:rFonts w:ascii="Calibri" w:hAnsi="Calibri"/>
          <w:b w:val="0"/>
          <w:i/>
          <w:color w:val="222222"/>
          <w:sz w:val="22"/>
        </w:rPr>
        <w:t>“Patient experience improved” is not sufficient evidence.</w:t>
      </w:r>
    </w:p>
    <w:p>
      <w:pPr>
        <w:spacing w:after="80" w:before="0" w:line="259" w:lineRule="auto"/>
        <w:jc w:val="both"/>
      </w:pPr>
      <w:r>
        <w:rPr>
          <w:rFonts w:ascii="Calibri" w:hAnsi="Calibri"/>
          <w:b w:val="0"/>
          <w:i w:val="0"/>
          <w:color w:val="222222"/>
          <w:sz w:val="22"/>
        </w:rPr>
        <w:t>Prefer statements such as: patient feedback for the reporting period, using the approved tool, with documented corrective actions for the largest complaint themes. Numbers and tools must come from FairBanks' approved MEL instruments — do not invent figures in the Handbook.</w:t>
      </w:r>
    </w:p>
    <w:p>
      <w:pPr>
        <w:pageBreakBefore/>
        <w:spacing w:after="160"/>
        <w:jc w:val="center"/>
      </w:pPr>
      <w:r>
        <w:rPr>
          <w:rFonts w:ascii="Calibri" w:hAnsi="Calibri"/>
          <w:b/>
          <w:i w:val="0"/>
          <w:color w:val="1A3A5C"/>
          <w:sz w:val="28"/>
        </w:rPr>
        <w:t>PART VI — FUNCTIONAL IMPLEMENTATION</w:t>
      </w:r>
    </w:p>
    <w:p>
      <w:pPr>
        <w:spacing w:before="240" w:after="100"/>
      </w:pPr>
      <w:r>
        <w:rPr>
          <w:rFonts w:ascii="Calibri" w:hAnsi="Calibri"/>
          <w:b/>
          <w:i w:val="0"/>
          <w:color w:val="1A3A5C"/>
          <w:sz w:val="26"/>
        </w:rPr>
        <w:t>20. Clinical Services &amp; FIHE</w:t>
      </w:r>
    </w:p>
    <w:p>
      <w:pPr>
        <w:spacing w:before="140" w:after="60"/>
      </w:pPr>
      <w:r>
        <w:rPr>
          <w:rFonts w:ascii="Calibri" w:hAnsi="Calibri"/>
          <w:b/>
          <w:i w:val="0"/>
          <w:color w:val="1A3A5C"/>
          <w:sz w:val="22"/>
        </w:rPr>
        <w:t>Core actions</w:t>
      </w:r>
    </w:p>
    <w:p>
      <w:pPr>
        <w:pStyle w:val="ListBullet"/>
        <w:spacing w:after="20"/>
      </w:pPr>
      <w:r>
        <w:rPr>
          <w:rFonts w:ascii="Calibri" w:hAnsi="Calibri"/>
          <w:b w:val="0"/>
          <w:i w:val="0"/>
          <w:color w:val="222222"/>
          <w:sz w:val="20"/>
        </w:rPr>
        <w:t>FIHE continuity</w:t>
      </w:r>
    </w:p>
    <w:p>
      <w:pPr>
        <w:pStyle w:val="ListBullet"/>
        <w:spacing w:after="20"/>
      </w:pPr>
      <w:r>
        <w:rPr>
          <w:rFonts w:ascii="Calibri" w:hAnsi="Calibri"/>
          <w:b w:val="0"/>
          <w:i w:val="0"/>
          <w:color w:val="222222"/>
          <w:sz w:val="20"/>
        </w:rPr>
        <w:t>Quality &amp; safety huddles</w:t>
      </w:r>
    </w:p>
    <w:p>
      <w:pPr>
        <w:pStyle w:val="ListBullet"/>
        <w:spacing w:after="20"/>
      </w:pPr>
      <w:r>
        <w:rPr>
          <w:rFonts w:ascii="Calibri" w:hAnsi="Calibri"/>
          <w:b w:val="0"/>
          <w:i w:val="0"/>
          <w:color w:val="222222"/>
          <w:sz w:val="20"/>
        </w:rPr>
        <w:t>Referral pathways</w:t>
      </w:r>
    </w:p>
    <w:p>
      <w:pPr>
        <w:pStyle w:val="ListBullet"/>
        <w:spacing w:after="20"/>
      </w:pPr>
      <w:r>
        <w:rPr>
          <w:rFonts w:ascii="Calibri" w:hAnsi="Calibri"/>
          <w:b w:val="0"/>
          <w:i w:val="0"/>
          <w:color w:val="222222"/>
          <w:sz w:val="20"/>
        </w:rPr>
        <w:t>Reduce fragmentation</w:t>
      </w:r>
    </w:p>
    <w:p>
      <w:pPr>
        <w:spacing w:before="140" w:after="60"/>
      </w:pPr>
      <w:r>
        <w:rPr>
          <w:rFonts w:ascii="Calibri" w:hAnsi="Calibri"/>
          <w:b/>
          <w:i w:val="0"/>
          <w:color w:val="1A3A5C"/>
          <w:sz w:val="22"/>
        </w:rPr>
        <w:t>Example KPIs</w:t>
      </w:r>
    </w:p>
    <w:p>
      <w:pPr>
        <w:pStyle w:val="ListBullet"/>
        <w:spacing w:after="20"/>
      </w:pPr>
      <w:r>
        <w:rPr>
          <w:rFonts w:ascii="Calibri" w:hAnsi="Calibri"/>
          <w:b w:val="0"/>
          <w:i w:val="0"/>
          <w:color w:val="222222"/>
          <w:sz w:val="20"/>
        </w:rPr>
        <w:t>Safety incidents closed on time</w:t>
      </w:r>
    </w:p>
    <w:p>
      <w:pPr>
        <w:pStyle w:val="ListBullet"/>
        <w:spacing w:after="20"/>
      </w:pPr>
      <w:r>
        <w:rPr>
          <w:rFonts w:ascii="Calibri" w:hAnsi="Calibri"/>
          <w:b w:val="0"/>
          <w:i w:val="0"/>
          <w:color w:val="222222"/>
          <w:sz w:val="20"/>
        </w:rPr>
        <w:t>Documentation completeness</w:t>
      </w:r>
    </w:p>
    <w:p>
      <w:pPr>
        <w:pStyle w:val="ListBullet"/>
        <w:spacing w:after="20"/>
      </w:pPr>
      <w:r>
        <w:rPr>
          <w:rFonts w:ascii="Calibri" w:hAnsi="Calibri"/>
          <w:b w:val="0"/>
          <w:i w:val="0"/>
          <w:color w:val="222222"/>
          <w:sz w:val="20"/>
        </w:rPr>
        <w:t>Referral loop closure</w:t>
      </w:r>
    </w:p>
    <w:p>
      <w:pPr>
        <w:spacing w:before="240" w:after="100"/>
      </w:pPr>
      <w:r>
        <w:rPr>
          <w:rFonts w:ascii="Calibri" w:hAnsi="Calibri"/>
          <w:b/>
          <w:i w:val="0"/>
          <w:color w:val="1A3A5C"/>
          <w:sz w:val="26"/>
        </w:rPr>
        <w:t>21. Nursing</w:t>
      </w:r>
    </w:p>
    <w:p>
      <w:pPr>
        <w:spacing w:before="140" w:after="60"/>
      </w:pPr>
      <w:r>
        <w:rPr>
          <w:rFonts w:ascii="Calibri" w:hAnsi="Calibri"/>
          <w:b/>
          <w:i w:val="0"/>
          <w:color w:val="1A3A5C"/>
          <w:sz w:val="22"/>
        </w:rPr>
        <w:t>Core actions</w:t>
      </w:r>
    </w:p>
    <w:p>
      <w:pPr>
        <w:pStyle w:val="ListBullet"/>
        <w:spacing w:after="20"/>
      </w:pPr>
      <w:r>
        <w:rPr>
          <w:rFonts w:ascii="Calibri" w:hAnsi="Calibri"/>
          <w:b w:val="0"/>
          <w:i w:val="0"/>
          <w:color w:val="222222"/>
          <w:sz w:val="20"/>
        </w:rPr>
        <w:t>Patient experience &amp; dignity</w:t>
      </w:r>
    </w:p>
    <w:p>
      <w:pPr>
        <w:pStyle w:val="ListBullet"/>
        <w:spacing w:after="20"/>
      </w:pPr>
      <w:r>
        <w:rPr>
          <w:rFonts w:ascii="Calibri" w:hAnsi="Calibri"/>
          <w:b w:val="0"/>
          <w:i w:val="0"/>
          <w:color w:val="222222"/>
          <w:sz w:val="20"/>
        </w:rPr>
        <w:t>Handovers</w:t>
      </w:r>
    </w:p>
    <w:p>
      <w:pPr>
        <w:pStyle w:val="ListBullet"/>
        <w:spacing w:after="20"/>
      </w:pPr>
      <w:r>
        <w:rPr>
          <w:rFonts w:ascii="Calibri" w:hAnsi="Calibri"/>
          <w:b w:val="0"/>
          <w:i w:val="0"/>
          <w:color w:val="222222"/>
          <w:sz w:val="20"/>
        </w:rPr>
        <w:t>Community linkage</w:t>
      </w:r>
    </w:p>
    <w:p>
      <w:pPr>
        <w:pStyle w:val="ListBullet"/>
        <w:spacing w:after="20"/>
      </w:pPr>
      <w:r>
        <w:rPr>
          <w:rFonts w:ascii="Calibri" w:hAnsi="Calibri"/>
          <w:b w:val="0"/>
          <w:i w:val="0"/>
          <w:color w:val="222222"/>
          <w:sz w:val="20"/>
        </w:rPr>
        <w:t>Early safety escalation</w:t>
      </w:r>
    </w:p>
    <w:p>
      <w:pPr>
        <w:spacing w:before="140" w:after="60"/>
      </w:pPr>
      <w:r>
        <w:rPr>
          <w:rFonts w:ascii="Calibri" w:hAnsi="Calibri"/>
          <w:b/>
          <w:i w:val="0"/>
          <w:color w:val="1A3A5C"/>
          <w:sz w:val="22"/>
        </w:rPr>
        <w:t>Example KPIs</w:t>
      </w:r>
    </w:p>
    <w:p>
      <w:pPr>
        <w:pStyle w:val="ListBullet"/>
        <w:spacing w:after="20"/>
      </w:pPr>
      <w:r>
        <w:rPr>
          <w:rFonts w:ascii="Calibri" w:hAnsi="Calibri"/>
          <w:b w:val="0"/>
          <w:i w:val="0"/>
          <w:color w:val="222222"/>
          <w:sz w:val="20"/>
        </w:rPr>
        <w:t>Handover compliance</w:t>
      </w:r>
    </w:p>
    <w:p>
      <w:pPr>
        <w:pStyle w:val="ListBullet"/>
        <w:spacing w:after="20"/>
      </w:pPr>
      <w:r>
        <w:rPr>
          <w:rFonts w:ascii="Calibri" w:hAnsi="Calibri"/>
          <w:b w:val="0"/>
          <w:i w:val="0"/>
          <w:color w:val="222222"/>
          <w:sz w:val="20"/>
        </w:rPr>
        <w:t>Complaint themes</w:t>
      </w:r>
    </w:p>
    <w:p>
      <w:pPr>
        <w:pStyle w:val="ListBullet"/>
        <w:spacing w:after="20"/>
      </w:pPr>
      <w:r>
        <w:rPr>
          <w:rFonts w:ascii="Calibri" w:hAnsi="Calibri"/>
          <w:b w:val="0"/>
          <w:i w:val="0"/>
          <w:color w:val="222222"/>
          <w:sz w:val="20"/>
        </w:rPr>
        <w:t>Escalation timeliness</w:t>
      </w:r>
    </w:p>
    <w:p>
      <w:pPr>
        <w:spacing w:before="240" w:after="100"/>
      </w:pPr>
      <w:r>
        <w:rPr>
          <w:rFonts w:ascii="Calibri" w:hAnsi="Calibri"/>
          <w:b/>
          <w:i w:val="0"/>
          <w:color w:val="1A3A5C"/>
          <w:sz w:val="26"/>
        </w:rPr>
        <w:t>22. Laboratory</w:t>
      </w:r>
    </w:p>
    <w:p>
      <w:pPr>
        <w:spacing w:before="140" w:after="60"/>
      </w:pPr>
      <w:r>
        <w:rPr>
          <w:rFonts w:ascii="Calibri" w:hAnsi="Calibri"/>
          <w:b/>
          <w:i w:val="0"/>
          <w:color w:val="1A3A5C"/>
          <w:sz w:val="22"/>
        </w:rPr>
        <w:t>Core actions</w:t>
      </w:r>
    </w:p>
    <w:p>
      <w:pPr>
        <w:pStyle w:val="ListBullet"/>
        <w:spacing w:after="20"/>
      </w:pPr>
      <w:r>
        <w:rPr>
          <w:rFonts w:ascii="Calibri" w:hAnsi="Calibri"/>
          <w:b w:val="0"/>
          <w:i w:val="0"/>
          <w:color w:val="222222"/>
          <w:sz w:val="20"/>
        </w:rPr>
        <w:t>Quality &amp; TAT</w:t>
      </w:r>
    </w:p>
    <w:p>
      <w:pPr>
        <w:pStyle w:val="ListBullet"/>
        <w:spacing w:after="20"/>
      </w:pPr>
      <w:r>
        <w:rPr>
          <w:rFonts w:ascii="Calibri" w:hAnsi="Calibri"/>
          <w:b w:val="0"/>
          <w:i w:val="0"/>
          <w:color w:val="222222"/>
          <w:sz w:val="20"/>
        </w:rPr>
        <w:t>Equipment uptime</w:t>
      </w:r>
    </w:p>
    <w:p>
      <w:pPr>
        <w:pStyle w:val="ListBullet"/>
        <w:spacing w:after="20"/>
      </w:pPr>
      <w:r>
        <w:rPr>
          <w:rFonts w:ascii="Calibri" w:hAnsi="Calibri"/>
          <w:b w:val="0"/>
          <w:i w:val="0"/>
          <w:color w:val="222222"/>
          <w:sz w:val="20"/>
        </w:rPr>
        <w:t>Reliable result flow</w:t>
      </w:r>
    </w:p>
    <w:p>
      <w:pPr>
        <w:spacing w:before="140" w:after="60"/>
      </w:pPr>
      <w:r>
        <w:rPr>
          <w:rFonts w:ascii="Calibri" w:hAnsi="Calibri"/>
          <w:b/>
          <w:i w:val="0"/>
          <w:color w:val="1A3A5C"/>
          <w:sz w:val="22"/>
        </w:rPr>
        <w:t>Example KPIs</w:t>
      </w:r>
    </w:p>
    <w:p>
      <w:pPr>
        <w:pStyle w:val="ListBullet"/>
        <w:spacing w:after="20"/>
      </w:pPr>
      <w:r>
        <w:rPr>
          <w:rFonts w:ascii="Calibri" w:hAnsi="Calibri"/>
          <w:b w:val="0"/>
          <w:i w:val="0"/>
          <w:color w:val="222222"/>
          <w:sz w:val="20"/>
        </w:rPr>
        <w:t>TAT vs target</w:t>
      </w:r>
    </w:p>
    <w:p>
      <w:pPr>
        <w:pStyle w:val="ListBullet"/>
        <w:spacing w:after="20"/>
      </w:pPr>
      <w:r>
        <w:rPr>
          <w:rFonts w:ascii="Calibri" w:hAnsi="Calibri"/>
          <w:b w:val="0"/>
          <w:i w:val="0"/>
          <w:color w:val="222222"/>
          <w:sz w:val="20"/>
        </w:rPr>
        <w:t>QC performance</w:t>
      </w:r>
    </w:p>
    <w:p>
      <w:pPr>
        <w:pStyle w:val="ListBullet"/>
        <w:spacing w:after="20"/>
      </w:pPr>
      <w:r>
        <w:rPr>
          <w:rFonts w:ascii="Calibri" w:hAnsi="Calibri"/>
          <w:b w:val="0"/>
          <w:i w:val="0"/>
          <w:color w:val="222222"/>
          <w:sz w:val="20"/>
        </w:rPr>
        <w:t>Critical result notification</w:t>
      </w:r>
    </w:p>
    <w:p>
      <w:pPr>
        <w:spacing w:before="240" w:after="100"/>
      </w:pPr>
      <w:r>
        <w:rPr>
          <w:rFonts w:ascii="Calibri" w:hAnsi="Calibri"/>
          <w:b/>
          <w:i w:val="0"/>
          <w:color w:val="1A3A5C"/>
          <w:sz w:val="26"/>
        </w:rPr>
        <w:t>23. Pharmacy</w:t>
      </w:r>
    </w:p>
    <w:p>
      <w:pPr>
        <w:spacing w:before="140" w:after="60"/>
      </w:pPr>
      <w:r>
        <w:rPr>
          <w:rFonts w:ascii="Calibri" w:hAnsi="Calibri"/>
          <w:b/>
          <w:i w:val="0"/>
          <w:color w:val="1A3A5C"/>
          <w:sz w:val="22"/>
        </w:rPr>
        <w:t>Core actions</w:t>
      </w:r>
    </w:p>
    <w:p>
      <w:pPr>
        <w:pStyle w:val="ListBullet"/>
        <w:spacing w:after="20"/>
      </w:pPr>
      <w:r>
        <w:rPr>
          <w:rFonts w:ascii="Calibri" w:hAnsi="Calibri"/>
          <w:b w:val="0"/>
          <w:i w:val="0"/>
          <w:color w:val="222222"/>
          <w:sz w:val="20"/>
        </w:rPr>
        <w:t>Stock availability</w:t>
      </w:r>
    </w:p>
    <w:p>
      <w:pPr>
        <w:pStyle w:val="ListBullet"/>
        <w:spacing w:after="20"/>
      </w:pPr>
      <w:r>
        <w:rPr>
          <w:rFonts w:ascii="Calibri" w:hAnsi="Calibri"/>
          <w:b w:val="0"/>
          <w:i w:val="0"/>
          <w:color w:val="222222"/>
          <w:sz w:val="20"/>
        </w:rPr>
        <w:t>Rational use</w:t>
      </w:r>
    </w:p>
    <w:p>
      <w:pPr>
        <w:pStyle w:val="ListBullet"/>
        <w:spacing w:after="20"/>
      </w:pPr>
      <w:r>
        <w:rPr>
          <w:rFonts w:ascii="Calibri" w:hAnsi="Calibri"/>
          <w:b w:val="0"/>
          <w:i w:val="0"/>
          <w:color w:val="222222"/>
          <w:sz w:val="20"/>
        </w:rPr>
        <w:t>Counselling</w:t>
      </w:r>
    </w:p>
    <w:p>
      <w:pPr>
        <w:pStyle w:val="ListBullet"/>
        <w:spacing w:after="20"/>
      </w:pPr>
      <w:r>
        <w:rPr>
          <w:rFonts w:ascii="Calibri" w:hAnsi="Calibri"/>
          <w:b w:val="0"/>
          <w:i w:val="0"/>
          <w:color w:val="222222"/>
          <w:sz w:val="20"/>
        </w:rPr>
        <w:t>Revenue integrity without harming care</w:t>
      </w:r>
    </w:p>
    <w:p>
      <w:pPr>
        <w:spacing w:before="140" w:after="60"/>
      </w:pPr>
      <w:r>
        <w:rPr>
          <w:rFonts w:ascii="Calibri" w:hAnsi="Calibri"/>
          <w:b/>
          <w:i w:val="0"/>
          <w:color w:val="1A3A5C"/>
          <w:sz w:val="22"/>
        </w:rPr>
        <w:t>Example KPIs</w:t>
      </w:r>
    </w:p>
    <w:p>
      <w:pPr>
        <w:pStyle w:val="ListBullet"/>
        <w:spacing w:after="20"/>
      </w:pPr>
      <w:r>
        <w:rPr>
          <w:rFonts w:ascii="Calibri" w:hAnsi="Calibri"/>
          <w:b w:val="0"/>
          <w:i w:val="0"/>
          <w:color w:val="222222"/>
          <w:sz w:val="20"/>
        </w:rPr>
        <w:t>Stock-out days</w:t>
      </w:r>
    </w:p>
    <w:p>
      <w:pPr>
        <w:pStyle w:val="ListBullet"/>
        <w:spacing w:after="20"/>
      </w:pPr>
      <w:r>
        <w:rPr>
          <w:rFonts w:ascii="Calibri" w:hAnsi="Calibri"/>
          <w:b w:val="0"/>
          <w:i w:val="0"/>
          <w:color w:val="222222"/>
          <w:sz w:val="20"/>
        </w:rPr>
        <w:t>Dispensing errors</w:t>
      </w:r>
    </w:p>
    <w:p>
      <w:pPr>
        <w:pStyle w:val="ListBullet"/>
        <w:spacing w:after="20"/>
      </w:pPr>
      <w:r>
        <w:rPr>
          <w:rFonts w:ascii="Calibri" w:hAnsi="Calibri"/>
          <w:b w:val="0"/>
          <w:i w:val="0"/>
          <w:color w:val="222222"/>
          <w:sz w:val="20"/>
        </w:rPr>
        <w:t>Counselling audit</w:t>
      </w:r>
    </w:p>
    <w:p>
      <w:pPr>
        <w:spacing w:before="240" w:after="100"/>
      </w:pPr>
      <w:r>
        <w:rPr>
          <w:rFonts w:ascii="Calibri" w:hAnsi="Calibri"/>
          <w:b/>
          <w:i w:val="0"/>
          <w:color w:val="1A3A5C"/>
          <w:sz w:val="26"/>
        </w:rPr>
        <w:t>24. Finance &amp; Sustainability</w:t>
      </w:r>
    </w:p>
    <w:p>
      <w:pPr>
        <w:spacing w:before="140" w:after="60"/>
      </w:pPr>
      <w:r>
        <w:rPr>
          <w:rFonts w:ascii="Calibri" w:hAnsi="Calibri"/>
          <w:b/>
          <w:i w:val="0"/>
          <w:color w:val="1A3A5C"/>
          <w:sz w:val="22"/>
        </w:rPr>
        <w:t>Core actions</w:t>
      </w:r>
    </w:p>
    <w:p>
      <w:pPr>
        <w:pStyle w:val="ListBullet"/>
        <w:spacing w:after="20"/>
      </w:pPr>
      <w:r>
        <w:rPr>
          <w:rFonts w:ascii="Calibri" w:hAnsi="Calibri"/>
          <w:b w:val="0"/>
          <w:i w:val="0"/>
          <w:color w:val="222222"/>
          <w:sz w:val="20"/>
        </w:rPr>
        <w:t>Budget &amp; cash discipline</w:t>
      </w:r>
    </w:p>
    <w:p>
      <w:pPr>
        <w:pStyle w:val="ListBullet"/>
        <w:spacing w:after="20"/>
      </w:pPr>
      <w:r>
        <w:rPr>
          <w:rFonts w:ascii="Calibri" w:hAnsi="Calibri"/>
          <w:b w:val="0"/>
          <w:i w:val="0"/>
          <w:color w:val="222222"/>
          <w:sz w:val="20"/>
        </w:rPr>
        <w:t>Timely accounts</w:t>
      </w:r>
    </w:p>
    <w:p>
      <w:pPr>
        <w:pStyle w:val="ListBullet"/>
        <w:spacing w:after="20"/>
      </w:pPr>
      <w:r>
        <w:rPr>
          <w:rFonts w:ascii="Calibri" w:hAnsi="Calibri"/>
          <w:b w:val="0"/>
          <w:i w:val="0"/>
          <w:color w:val="222222"/>
          <w:sz w:val="20"/>
        </w:rPr>
        <w:t>Stewardship test before major spend</w:t>
      </w:r>
    </w:p>
    <w:p>
      <w:pPr>
        <w:spacing w:before="140" w:after="60"/>
      </w:pPr>
      <w:r>
        <w:rPr>
          <w:rFonts w:ascii="Calibri" w:hAnsi="Calibri"/>
          <w:b/>
          <w:i w:val="0"/>
          <w:color w:val="1A3A5C"/>
          <w:sz w:val="22"/>
        </w:rPr>
        <w:t>Example KPIs</w:t>
      </w:r>
    </w:p>
    <w:p>
      <w:pPr>
        <w:pStyle w:val="ListBullet"/>
        <w:spacing w:after="20"/>
      </w:pPr>
      <w:r>
        <w:rPr>
          <w:rFonts w:ascii="Calibri" w:hAnsi="Calibri"/>
          <w:b w:val="0"/>
          <w:i w:val="0"/>
          <w:color w:val="222222"/>
          <w:sz w:val="20"/>
        </w:rPr>
        <w:t>Reports on time</w:t>
      </w:r>
    </w:p>
    <w:p>
      <w:pPr>
        <w:pStyle w:val="ListBullet"/>
        <w:spacing w:after="20"/>
      </w:pPr>
      <w:r>
        <w:rPr>
          <w:rFonts w:ascii="Calibri" w:hAnsi="Calibri"/>
          <w:b w:val="0"/>
          <w:i w:val="0"/>
          <w:color w:val="222222"/>
          <w:sz w:val="20"/>
        </w:rPr>
        <w:t>Budget variance</w:t>
      </w:r>
    </w:p>
    <w:p>
      <w:pPr>
        <w:pStyle w:val="ListBullet"/>
        <w:spacing w:after="20"/>
      </w:pPr>
      <w:r>
        <w:rPr>
          <w:rFonts w:ascii="Calibri" w:hAnsi="Calibri"/>
          <w:b w:val="0"/>
          <w:i w:val="0"/>
          <w:color w:val="222222"/>
          <w:sz w:val="20"/>
        </w:rPr>
        <w:t>Cash days cover</w:t>
      </w:r>
    </w:p>
    <w:p>
      <w:pPr>
        <w:spacing w:before="240" w:after="100"/>
      </w:pPr>
      <w:r>
        <w:rPr>
          <w:rFonts w:ascii="Calibri" w:hAnsi="Calibri"/>
          <w:b/>
          <w:i w:val="0"/>
          <w:color w:val="1A3A5C"/>
          <w:sz w:val="26"/>
        </w:rPr>
        <w:t>25. HR / Corporate Services</w:t>
      </w:r>
    </w:p>
    <w:p>
      <w:pPr>
        <w:spacing w:before="140" w:after="60"/>
      </w:pPr>
      <w:r>
        <w:rPr>
          <w:rFonts w:ascii="Calibri" w:hAnsi="Calibri"/>
          <w:b/>
          <w:i w:val="0"/>
          <w:color w:val="1A3A5C"/>
          <w:sz w:val="22"/>
        </w:rPr>
        <w:t>Core actions</w:t>
      </w:r>
    </w:p>
    <w:p>
      <w:pPr>
        <w:pStyle w:val="ListBullet"/>
        <w:spacing w:after="20"/>
      </w:pPr>
      <w:r>
        <w:rPr>
          <w:rFonts w:ascii="Calibri" w:hAnsi="Calibri"/>
          <w:b w:val="0"/>
          <w:i w:val="0"/>
          <w:color w:val="222222"/>
          <w:sz w:val="20"/>
        </w:rPr>
        <w:t>Staffing</w:t>
      </w:r>
    </w:p>
    <w:p>
      <w:pPr>
        <w:pStyle w:val="ListBullet"/>
        <w:spacing w:after="20"/>
      </w:pPr>
      <w:r>
        <w:rPr>
          <w:rFonts w:ascii="Calibri" w:hAnsi="Calibri"/>
          <w:b w:val="0"/>
          <w:i w:val="0"/>
          <w:color w:val="222222"/>
          <w:sz w:val="20"/>
        </w:rPr>
        <w:t>Performance &amp; training</w:t>
      </w:r>
    </w:p>
    <w:p>
      <w:pPr>
        <w:pStyle w:val="ListBullet"/>
        <w:spacing w:after="20"/>
      </w:pPr>
      <w:r>
        <w:rPr>
          <w:rFonts w:ascii="Calibri" w:hAnsi="Calibri"/>
          <w:b w:val="0"/>
          <w:i w:val="0"/>
          <w:color w:val="222222"/>
          <w:sz w:val="20"/>
        </w:rPr>
        <w:t>Culture</w:t>
      </w:r>
    </w:p>
    <w:p>
      <w:pPr>
        <w:pStyle w:val="ListBullet"/>
        <w:spacing w:after="20"/>
      </w:pPr>
      <w:r>
        <w:rPr>
          <w:rFonts w:ascii="Calibri" w:hAnsi="Calibri"/>
          <w:b w:val="0"/>
          <w:i w:val="0"/>
          <w:color w:val="222222"/>
          <w:sz w:val="20"/>
        </w:rPr>
        <w:t>Support services</w:t>
      </w:r>
    </w:p>
    <w:p>
      <w:pPr>
        <w:spacing w:before="140" w:after="60"/>
      </w:pPr>
      <w:r>
        <w:rPr>
          <w:rFonts w:ascii="Calibri" w:hAnsi="Calibri"/>
          <w:b/>
          <w:i w:val="0"/>
          <w:color w:val="1A3A5C"/>
          <w:sz w:val="22"/>
        </w:rPr>
        <w:t>Example KPIs</w:t>
      </w:r>
    </w:p>
    <w:p>
      <w:pPr>
        <w:pStyle w:val="ListBullet"/>
        <w:spacing w:after="20"/>
      </w:pPr>
      <w:r>
        <w:rPr>
          <w:rFonts w:ascii="Calibri" w:hAnsi="Calibri"/>
          <w:b w:val="0"/>
          <w:i w:val="0"/>
          <w:color w:val="222222"/>
          <w:sz w:val="20"/>
        </w:rPr>
        <w:t>Critical posts filled</w:t>
      </w:r>
    </w:p>
    <w:p>
      <w:pPr>
        <w:pStyle w:val="ListBullet"/>
        <w:spacing w:after="20"/>
      </w:pPr>
      <w:r>
        <w:rPr>
          <w:rFonts w:ascii="Calibri" w:hAnsi="Calibri"/>
          <w:b w:val="0"/>
          <w:i w:val="0"/>
          <w:color w:val="222222"/>
          <w:sz w:val="20"/>
        </w:rPr>
        <w:t>Appraisal completion</w:t>
      </w:r>
    </w:p>
    <w:p>
      <w:pPr>
        <w:pStyle w:val="ListBullet"/>
        <w:spacing w:after="20"/>
      </w:pPr>
      <w:r>
        <w:rPr>
          <w:rFonts w:ascii="Calibri" w:hAnsi="Calibri"/>
          <w:b w:val="0"/>
          <w:i w:val="0"/>
          <w:color w:val="222222"/>
          <w:sz w:val="20"/>
        </w:rPr>
        <w:t>Priority training</w:t>
      </w:r>
    </w:p>
    <w:p>
      <w:pPr>
        <w:spacing w:before="240" w:after="100"/>
      </w:pPr>
      <w:r>
        <w:rPr>
          <w:rFonts w:ascii="Calibri" w:hAnsi="Calibri"/>
          <w:b/>
          <w:i w:val="0"/>
          <w:color w:val="1A3A5C"/>
          <w:sz w:val="26"/>
        </w:rPr>
        <w:t>26. Community Health, CHIP &amp; Outreach</w:t>
      </w:r>
    </w:p>
    <w:p>
      <w:pPr>
        <w:spacing w:before="140" w:after="60"/>
      </w:pPr>
      <w:r>
        <w:rPr>
          <w:rFonts w:ascii="Calibri" w:hAnsi="Calibri"/>
          <w:b/>
          <w:i w:val="0"/>
          <w:color w:val="1A3A5C"/>
          <w:sz w:val="22"/>
        </w:rPr>
        <w:t>Core actions</w:t>
      </w:r>
    </w:p>
    <w:p>
      <w:pPr>
        <w:pStyle w:val="ListBullet"/>
        <w:spacing w:after="20"/>
      </w:pPr>
      <w:r>
        <w:rPr>
          <w:rFonts w:ascii="Calibri" w:hAnsi="Calibri"/>
          <w:b w:val="0"/>
          <w:i w:val="0"/>
          <w:color w:val="222222"/>
          <w:sz w:val="20"/>
        </w:rPr>
        <w:t>Need-based outreach</w:t>
      </w:r>
    </w:p>
    <w:p>
      <w:pPr>
        <w:pStyle w:val="ListBullet"/>
        <w:spacing w:after="20"/>
      </w:pPr>
      <w:r>
        <w:rPr>
          <w:rFonts w:ascii="Calibri" w:hAnsi="Calibri"/>
          <w:b w:val="0"/>
          <w:i w:val="0"/>
          <w:color w:val="222222"/>
          <w:sz w:val="20"/>
        </w:rPr>
        <w:t>CHW/VHT support</w:t>
      </w:r>
    </w:p>
    <w:p>
      <w:pPr>
        <w:pStyle w:val="ListBullet"/>
        <w:spacing w:after="20"/>
      </w:pPr>
      <w:r>
        <w:rPr>
          <w:rFonts w:ascii="Calibri" w:hAnsi="Calibri"/>
          <w:b w:val="0"/>
          <w:i w:val="0"/>
          <w:color w:val="222222"/>
          <w:sz w:val="20"/>
        </w:rPr>
        <w:t>Referral linkage</w:t>
      </w:r>
    </w:p>
    <w:p>
      <w:pPr>
        <w:pStyle w:val="ListBullet"/>
        <w:spacing w:after="20"/>
      </w:pPr>
      <w:r>
        <w:rPr>
          <w:rFonts w:ascii="Calibri" w:hAnsi="Calibri"/>
          <w:b w:val="0"/>
          <w:i w:val="0"/>
          <w:color w:val="222222"/>
          <w:sz w:val="20"/>
        </w:rPr>
        <w:t>CHIP phased/designed until evidenced</w:t>
      </w:r>
    </w:p>
    <w:p>
      <w:pPr>
        <w:spacing w:before="140" w:after="60"/>
      </w:pPr>
      <w:r>
        <w:rPr>
          <w:rFonts w:ascii="Calibri" w:hAnsi="Calibri"/>
          <w:b/>
          <w:i w:val="0"/>
          <w:color w:val="1A3A5C"/>
          <w:sz w:val="22"/>
        </w:rPr>
        <w:t>Example KPIs</w:t>
      </w:r>
    </w:p>
    <w:p>
      <w:pPr>
        <w:pStyle w:val="ListBullet"/>
        <w:spacing w:after="20"/>
      </w:pPr>
      <w:r>
        <w:rPr>
          <w:rFonts w:ascii="Calibri" w:hAnsi="Calibri"/>
          <w:b w:val="0"/>
          <w:i w:val="0"/>
          <w:color w:val="222222"/>
          <w:sz w:val="20"/>
        </w:rPr>
        <w:t>Outreach completed</w:t>
      </w:r>
    </w:p>
    <w:p>
      <w:pPr>
        <w:pStyle w:val="ListBullet"/>
        <w:spacing w:after="20"/>
      </w:pPr>
      <w:r>
        <w:rPr>
          <w:rFonts w:ascii="Calibri" w:hAnsi="Calibri"/>
          <w:b w:val="0"/>
          <w:i w:val="0"/>
          <w:color w:val="222222"/>
          <w:sz w:val="20"/>
        </w:rPr>
        <w:t>Referral completion</w:t>
      </w:r>
    </w:p>
    <w:p>
      <w:pPr>
        <w:pStyle w:val="ListBullet"/>
        <w:spacing w:after="20"/>
      </w:pPr>
      <w:r>
        <w:rPr>
          <w:rFonts w:ascii="Calibri" w:hAnsi="Calibri"/>
          <w:b w:val="0"/>
          <w:i w:val="0"/>
          <w:color w:val="222222"/>
          <w:sz w:val="20"/>
        </w:rPr>
        <w:t>CHIP pilot integrity</w:t>
      </w:r>
    </w:p>
    <w:p>
      <w:pPr>
        <w:spacing w:before="240" w:after="100"/>
      </w:pPr>
      <w:r>
        <w:rPr>
          <w:rFonts w:ascii="Calibri" w:hAnsi="Calibri"/>
          <w:b/>
          <w:i w:val="0"/>
          <w:color w:val="1A3A5C"/>
          <w:sz w:val="26"/>
        </w:rPr>
        <w:t>27. FCHIP &amp; Digital</w:t>
      </w:r>
    </w:p>
    <w:p>
      <w:pPr>
        <w:spacing w:before="140" w:after="60"/>
      </w:pPr>
      <w:r>
        <w:rPr>
          <w:rFonts w:ascii="Calibri" w:hAnsi="Calibri"/>
          <w:b/>
          <w:i w:val="0"/>
          <w:color w:val="1A3A5C"/>
          <w:sz w:val="22"/>
        </w:rPr>
        <w:t>Core actions</w:t>
      </w:r>
    </w:p>
    <w:p>
      <w:pPr>
        <w:pStyle w:val="ListBullet"/>
        <w:spacing w:after="20"/>
      </w:pPr>
      <w:r>
        <w:rPr>
          <w:rFonts w:ascii="Calibri" w:hAnsi="Calibri"/>
          <w:b w:val="0"/>
          <w:i w:val="0"/>
          <w:color w:val="222222"/>
          <w:sz w:val="20"/>
        </w:rPr>
        <w:t>Phased backlog</w:t>
      </w:r>
    </w:p>
    <w:p>
      <w:pPr>
        <w:pStyle w:val="ListBullet"/>
        <w:spacing w:after="20"/>
      </w:pPr>
      <w:r>
        <w:rPr>
          <w:rFonts w:ascii="Calibri" w:hAnsi="Calibri"/>
          <w:b w:val="0"/>
          <w:i w:val="0"/>
          <w:color w:val="222222"/>
          <w:sz w:val="20"/>
        </w:rPr>
        <w:t>Privacy &amp; security</w:t>
      </w:r>
    </w:p>
    <w:p>
      <w:pPr>
        <w:pStyle w:val="ListBullet"/>
        <w:spacing w:after="20"/>
      </w:pPr>
      <w:r>
        <w:rPr>
          <w:rFonts w:ascii="Calibri" w:hAnsi="Calibri"/>
          <w:b w:val="0"/>
          <w:i w:val="0"/>
          <w:color w:val="222222"/>
          <w:sz w:val="20"/>
        </w:rPr>
        <w:t>Workflow-first tools</w:t>
      </w:r>
    </w:p>
    <w:p>
      <w:pPr>
        <w:pStyle w:val="ListBullet"/>
        <w:spacing w:after="20"/>
      </w:pPr>
      <w:r>
        <w:rPr>
          <w:rFonts w:ascii="Calibri" w:hAnsi="Calibri"/>
          <w:b w:val="0"/>
          <w:i w:val="0"/>
          <w:color w:val="222222"/>
          <w:sz w:val="20"/>
        </w:rPr>
        <w:t>Use-case owners</w:t>
      </w:r>
    </w:p>
    <w:p>
      <w:pPr>
        <w:spacing w:before="140" w:after="60"/>
      </w:pPr>
      <w:r>
        <w:rPr>
          <w:rFonts w:ascii="Calibri" w:hAnsi="Calibri"/>
          <w:b/>
          <w:i w:val="0"/>
          <w:color w:val="1A3A5C"/>
          <w:sz w:val="22"/>
        </w:rPr>
        <w:t>Example KPIs</w:t>
      </w:r>
    </w:p>
    <w:p>
      <w:pPr>
        <w:pStyle w:val="ListBullet"/>
        <w:spacing w:after="20"/>
      </w:pPr>
      <w:r>
        <w:rPr>
          <w:rFonts w:ascii="Calibri" w:hAnsi="Calibri"/>
          <w:b w:val="0"/>
          <w:i w:val="0"/>
          <w:color w:val="222222"/>
          <w:sz w:val="20"/>
        </w:rPr>
        <w:t>Data completeness</w:t>
      </w:r>
    </w:p>
    <w:p>
      <w:pPr>
        <w:pStyle w:val="ListBullet"/>
        <w:spacing w:after="20"/>
      </w:pPr>
      <w:r>
        <w:rPr>
          <w:rFonts w:ascii="Calibri" w:hAnsi="Calibri"/>
          <w:b w:val="0"/>
          <w:i w:val="0"/>
          <w:color w:val="222222"/>
          <w:sz w:val="20"/>
        </w:rPr>
        <w:t>Downtime</w:t>
      </w:r>
    </w:p>
    <w:p>
      <w:pPr>
        <w:pStyle w:val="ListBullet"/>
        <w:spacing w:after="20"/>
      </w:pPr>
      <w:r>
        <w:rPr>
          <w:rFonts w:ascii="Calibri" w:hAnsi="Calibri"/>
          <w:b w:val="0"/>
          <w:i w:val="0"/>
          <w:color w:val="222222"/>
          <w:sz w:val="20"/>
        </w:rPr>
        <w:t>Use-case delivery</w:t>
      </w:r>
    </w:p>
    <w:p>
      <w:pPr>
        <w:spacing w:before="240" w:after="100"/>
      </w:pPr>
      <w:r>
        <w:rPr>
          <w:rFonts w:ascii="Calibri" w:hAnsi="Calibri"/>
          <w:b/>
          <w:i w:val="0"/>
          <w:color w:val="1A3A5C"/>
          <w:sz w:val="26"/>
        </w:rPr>
        <w:t>28. Partnerships</w:t>
      </w:r>
    </w:p>
    <w:p>
      <w:pPr>
        <w:spacing w:before="140" w:after="60"/>
      </w:pPr>
      <w:r>
        <w:rPr>
          <w:rFonts w:ascii="Calibri" w:hAnsi="Calibri"/>
          <w:b/>
          <w:i w:val="0"/>
          <w:color w:val="1A3A5C"/>
          <w:sz w:val="22"/>
        </w:rPr>
        <w:t>Core actions</w:t>
      </w:r>
    </w:p>
    <w:p>
      <w:pPr>
        <w:pStyle w:val="ListBullet"/>
        <w:spacing w:after="20"/>
      </w:pPr>
      <w:r>
        <w:rPr>
          <w:rFonts w:ascii="Calibri" w:hAnsi="Calibri"/>
          <w:b w:val="0"/>
          <w:i w:val="0"/>
          <w:color w:val="222222"/>
          <w:sz w:val="20"/>
        </w:rPr>
        <w:t>Pipeline &amp; agreements</w:t>
      </w:r>
    </w:p>
    <w:p>
      <w:pPr>
        <w:pStyle w:val="ListBullet"/>
        <w:spacing w:after="20"/>
      </w:pPr>
      <w:r>
        <w:rPr>
          <w:rFonts w:ascii="Calibri" w:hAnsi="Calibri"/>
          <w:b w:val="0"/>
          <w:i w:val="0"/>
          <w:color w:val="222222"/>
          <w:sz w:val="20"/>
        </w:rPr>
        <w:t>Owners &amp; deliverables</w:t>
      </w:r>
    </w:p>
    <w:p>
      <w:pPr>
        <w:pStyle w:val="ListBullet"/>
        <w:spacing w:after="20"/>
      </w:pPr>
      <w:r>
        <w:rPr>
          <w:rFonts w:ascii="Calibri" w:hAnsi="Calibri"/>
          <w:b w:val="0"/>
          <w:i w:val="0"/>
          <w:color w:val="222222"/>
          <w:sz w:val="20"/>
        </w:rPr>
        <w:t>Collaborate before duplicating</w:t>
      </w:r>
    </w:p>
    <w:p>
      <w:pPr>
        <w:spacing w:before="140" w:after="60"/>
      </w:pPr>
      <w:r>
        <w:rPr>
          <w:rFonts w:ascii="Calibri" w:hAnsi="Calibri"/>
          <w:b/>
          <w:i w:val="0"/>
          <w:color w:val="1A3A5C"/>
          <w:sz w:val="22"/>
        </w:rPr>
        <w:t>Example KPIs</w:t>
      </w:r>
    </w:p>
    <w:p>
      <w:pPr>
        <w:pStyle w:val="ListBullet"/>
        <w:spacing w:after="20"/>
      </w:pPr>
      <w:r>
        <w:rPr>
          <w:rFonts w:ascii="Calibri" w:hAnsi="Calibri"/>
          <w:b w:val="0"/>
          <w:i w:val="0"/>
          <w:color w:val="222222"/>
          <w:sz w:val="20"/>
        </w:rPr>
        <w:t>Active agreements</w:t>
      </w:r>
    </w:p>
    <w:p>
      <w:pPr>
        <w:pStyle w:val="ListBullet"/>
        <w:spacing w:after="20"/>
      </w:pPr>
      <w:r>
        <w:rPr>
          <w:rFonts w:ascii="Calibri" w:hAnsi="Calibri"/>
          <w:b w:val="0"/>
          <w:i w:val="0"/>
          <w:color w:val="222222"/>
          <w:sz w:val="20"/>
        </w:rPr>
        <w:t>Deliverable completion</w:t>
      </w:r>
    </w:p>
    <w:p>
      <w:pPr>
        <w:pStyle w:val="ListBullet"/>
        <w:spacing w:after="20"/>
      </w:pPr>
      <w:r>
        <w:rPr>
          <w:rFonts w:ascii="Calibri" w:hAnsi="Calibri"/>
          <w:b w:val="0"/>
          <w:i w:val="0"/>
          <w:color w:val="222222"/>
          <w:sz w:val="20"/>
        </w:rPr>
        <w:t>Issues &gt;30 days</w:t>
      </w:r>
    </w:p>
    <w:p>
      <w:pPr>
        <w:spacing w:before="240" w:after="100"/>
      </w:pPr>
      <w:r>
        <w:rPr>
          <w:rFonts w:ascii="Calibri" w:hAnsi="Calibri"/>
          <w:b/>
          <w:i w:val="0"/>
          <w:color w:val="1A3A5C"/>
          <w:sz w:val="26"/>
        </w:rPr>
        <w:t>29. MEL</w:t>
      </w:r>
    </w:p>
    <w:p>
      <w:pPr>
        <w:spacing w:before="140" w:after="60"/>
      </w:pPr>
      <w:r>
        <w:rPr>
          <w:rFonts w:ascii="Calibri" w:hAnsi="Calibri"/>
          <w:b/>
          <w:i w:val="0"/>
          <w:color w:val="1A3A5C"/>
          <w:sz w:val="22"/>
        </w:rPr>
        <w:t>Core actions</w:t>
      </w:r>
    </w:p>
    <w:p>
      <w:pPr>
        <w:pStyle w:val="ListBullet"/>
        <w:spacing w:after="20"/>
      </w:pPr>
      <w:r>
        <w:rPr>
          <w:rFonts w:ascii="Calibri" w:hAnsi="Calibri"/>
          <w:b w:val="0"/>
          <w:i w:val="0"/>
          <w:color w:val="222222"/>
          <w:sz w:val="20"/>
        </w:rPr>
        <w:t>Institutional dashboard</w:t>
      </w:r>
    </w:p>
    <w:p>
      <w:pPr>
        <w:pStyle w:val="ListBullet"/>
        <w:spacing w:after="20"/>
      </w:pPr>
      <w:r>
        <w:rPr>
          <w:rFonts w:ascii="Calibri" w:hAnsi="Calibri"/>
          <w:b w:val="0"/>
          <w:i w:val="0"/>
          <w:color w:val="222222"/>
          <w:sz w:val="20"/>
        </w:rPr>
        <w:t>Support usable KPIs</w:t>
      </w:r>
    </w:p>
    <w:p>
      <w:pPr>
        <w:pStyle w:val="ListBullet"/>
        <w:spacing w:after="20"/>
      </w:pPr>
      <w:r>
        <w:rPr>
          <w:rFonts w:ascii="Calibri" w:hAnsi="Calibri"/>
          <w:b w:val="0"/>
          <w:i w:val="0"/>
          <w:color w:val="222222"/>
          <w:sz w:val="20"/>
        </w:rPr>
        <w:t>Gate packs</w:t>
      </w:r>
    </w:p>
    <w:p>
      <w:pPr>
        <w:pStyle w:val="ListBullet"/>
        <w:spacing w:after="20"/>
      </w:pPr>
      <w:r>
        <w:rPr>
          <w:rFonts w:ascii="Calibri" w:hAnsi="Calibri"/>
          <w:b w:val="0"/>
          <w:i w:val="0"/>
          <w:color w:val="222222"/>
          <w:sz w:val="20"/>
        </w:rPr>
        <w:t>Learning reviews</w:t>
      </w:r>
    </w:p>
    <w:p>
      <w:pPr>
        <w:spacing w:before="140" w:after="60"/>
      </w:pPr>
      <w:r>
        <w:rPr>
          <w:rFonts w:ascii="Calibri" w:hAnsi="Calibri"/>
          <w:b/>
          <w:i w:val="0"/>
          <w:color w:val="1A3A5C"/>
          <w:sz w:val="22"/>
        </w:rPr>
        <w:t>Example KPIs</w:t>
      </w:r>
    </w:p>
    <w:p>
      <w:pPr>
        <w:pStyle w:val="ListBullet"/>
        <w:spacing w:after="20"/>
      </w:pPr>
      <w:r>
        <w:rPr>
          <w:rFonts w:ascii="Calibri" w:hAnsi="Calibri"/>
          <w:b w:val="0"/>
          <w:i w:val="0"/>
          <w:color w:val="222222"/>
          <w:sz w:val="20"/>
        </w:rPr>
        <w:t>Dashboard freshness</w:t>
      </w:r>
    </w:p>
    <w:p>
      <w:pPr>
        <w:pStyle w:val="ListBullet"/>
        <w:spacing w:after="20"/>
      </w:pPr>
      <w:r>
        <w:rPr>
          <w:rFonts w:ascii="Calibri" w:hAnsi="Calibri"/>
          <w:b w:val="0"/>
          <w:i w:val="0"/>
          <w:color w:val="222222"/>
          <w:sz w:val="20"/>
        </w:rPr>
        <w:t>Gate pack completeness</w:t>
      </w:r>
    </w:p>
    <w:p>
      <w:pPr>
        <w:pStyle w:val="ListBullet"/>
        <w:spacing w:after="20"/>
      </w:pPr>
      <w:r>
        <w:rPr>
          <w:rFonts w:ascii="Calibri" w:hAnsi="Calibri"/>
          <w:b w:val="0"/>
          <w:i w:val="0"/>
          <w:color w:val="222222"/>
          <w:sz w:val="20"/>
        </w:rPr>
        <w:t>Learning notes filed</w:t>
      </w:r>
    </w:p>
    <w:p>
      <w:pPr>
        <w:spacing w:before="240" w:after="100"/>
      </w:pPr>
      <w:r>
        <w:rPr>
          <w:rFonts w:ascii="Calibri" w:hAnsi="Calibri"/>
          <w:b/>
          <w:i w:val="0"/>
          <w:color w:val="1A3A5C"/>
          <w:sz w:val="26"/>
        </w:rPr>
        <w:t>30. Research &amp; Innovation</w:t>
      </w:r>
    </w:p>
    <w:p>
      <w:pPr>
        <w:spacing w:before="140" w:after="60"/>
      </w:pPr>
      <w:r>
        <w:rPr>
          <w:rFonts w:ascii="Calibri" w:hAnsi="Calibri"/>
          <w:b/>
          <w:i w:val="0"/>
          <w:color w:val="1A3A5C"/>
          <w:sz w:val="22"/>
        </w:rPr>
        <w:t>Core actions</w:t>
      </w:r>
    </w:p>
    <w:p>
      <w:pPr>
        <w:pStyle w:val="ListBullet"/>
        <w:spacing w:after="20"/>
      </w:pPr>
      <w:r>
        <w:rPr>
          <w:rFonts w:ascii="Calibri" w:hAnsi="Calibri"/>
          <w:b w:val="0"/>
          <w:i w:val="0"/>
          <w:color w:val="222222"/>
          <w:sz w:val="20"/>
        </w:rPr>
        <w:t>Innovation Canvas</w:t>
      </w:r>
    </w:p>
    <w:p>
      <w:pPr>
        <w:pStyle w:val="ListBullet"/>
        <w:spacing w:after="20"/>
      </w:pPr>
      <w:r>
        <w:rPr>
          <w:rFonts w:ascii="Calibri" w:hAnsi="Calibri"/>
          <w:b w:val="0"/>
          <w:i w:val="0"/>
          <w:color w:val="222222"/>
          <w:sz w:val="20"/>
        </w:rPr>
        <w:t>Ethics/governance</w:t>
      </w:r>
    </w:p>
    <w:p>
      <w:pPr>
        <w:pStyle w:val="ListBullet"/>
        <w:spacing w:after="20"/>
      </w:pPr>
      <w:r>
        <w:rPr>
          <w:rFonts w:ascii="Calibri" w:hAnsi="Calibri"/>
          <w:b w:val="0"/>
          <w:i w:val="0"/>
          <w:color w:val="222222"/>
          <w:sz w:val="20"/>
        </w:rPr>
        <w:t>Stop/Modify/Scale with evidence</w:t>
      </w:r>
    </w:p>
    <w:p>
      <w:pPr>
        <w:spacing w:before="140" w:after="60"/>
      </w:pPr>
      <w:r>
        <w:rPr>
          <w:rFonts w:ascii="Calibri" w:hAnsi="Calibri"/>
          <w:b/>
          <w:i w:val="0"/>
          <w:color w:val="1A3A5C"/>
          <w:sz w:val="22"/>
        </w:rPr>
        <w:t>Example KPIs</w:t>
      </w:r>
    </w:p>
    <w:p>
      <w:pPr>
        <w:pStyle w:val="ListBullet"/>
        <w:spacing w:after="20"/>
      </w:pPr>
      <w:r>
        <w:rPr>
          <w:rFonts w:ascii="Calibri" w:hAnsi="Calibri"/>
          <w:b w:val="0"/>
          <w:i w:val="0"/>
          <w:color w:val="222222"/>
          <w:sz w:val="20"/>
        </w:rPr>
        <w:t>Pilots evaluated</w:t>
      </w:r>
    </w:p>
    <w:p>
      <w:pPr>
        <w:pStyle w:val="ListBullet"/>
        <w:spacing w:after="20"/>
      </w:pPr>
      <w:r>
        <w:rPr>
          <w:rFonts w:ascii="Calibri" w:hAnsi="Calibri"/>
          <w:b w:val="0"/>
          <w:i w:val="0"/>
          <w:color w:val="222222"/>
          <w:sz w:val="20"/>
        </w:rPr>
        <w:t>Decisions recorded</w:t>
      </w:r>
    </w:p>
    <w:p>
      <w:pPr>
        <w:pStyle w:val="ListBullet"/>
        <w:spacing w:after="20"/>
      </w:pPr>
      <w:r>
        <w:rPr>
          <w:rFonts w:ascii="Calibri" w:hAnsi="Calibri"/>
          <w:b w:val="0"/>
          <w:i w:val="0"/>
          <w:color w:val="222222"/>
          <w:sz w:val="20"/>
        </w:rPr>
        <w:t>Practice changes</w:t>
      </w:r>
    </w:p>
    <w:p>
      <w:pPr>
        <w:spacing w:before="240" w:after="100"/>
      </w:pPr>
      <w:r>
        <w:rPr>
          <w:rFonts w:ascii="Calibri" w:hAnsi="Calibri"/>
          <w:b/>
          <w:i w:val="0"/>
          <w:color w:val="1A3A5C"/>
          <w:sz w:val="26"/>
        </w:rPr>
        <w:t>31. People &amp; Leadership Development</w:t>
      </w:r>
    </w:p>
    <w:p>
      <w:pPr>
        <w:spacing w:before="140" w:after="60"/>
      </w:pPr>
      <w:r>
        <w:rPr>
          <w:rFonts w:ascii="Calibri" w:hAnsi="Calibri"/>
          <w:b/>
          <w:i w:val="0"/>
          <w:color w:val="1A3A5C"/>
          <w:sz w:val="22"/>
        </w:rPr>
        <w:t>Core actions</w:t>
      </w:r>
    </w:p>
    <w:p>
      <w:pPr>
        <w:pStyle w:val="ListBullet"/>
        <w:spacing w:after="20"/>
      </w:pPr>
      <w:r>
        <w:rPr>
          <w:rFonts w:ascii="Calibri" w:hAnsi="Calibri"/>
          <w:b w:val="0"/>
          <w:i w:val="0"/>
          <w:color w:val="222222"/>
          <w:sz w:val="20"/>
        </w:rPr>
        <w:t>Reduce founder-only dependence</w:t>
      </w:r>
    </w:p>
    <w:p>
      <w:pPr>
        <w:pStyle w:val="ListBullet"/>
        <w:spacing w:after="20"/>
      </w:pPr>
      <w:r>
        <w:rPr>
          <w:rFonts w:ascii="Calibri" w:hAnsi="Calibri"/>
          <w:b w:val="0"/>
          <w:i w:val="0"/>
          <w:color w:val="222222"/>
          <w:sz w:val="20"/>
        </w:rPr>
        <w:t>Coach second line</w:t>
      </w:r>
    </w:p>
    <w:p>
      <w:pPr>
        <w:pStyle w:val="ListBullet"/>
        <w:spacing w:after="20"/>
      </w:pPr>
      <w:r>
        <w:rPr>
          <w:rFonts w:ascii="Calibri" w:hAnsi="Calibri"/>
          <w:b w:val="0"/>
          <w:i w:val="0"/>
          <w:color w:val="222222"/>
          <w:sz w:val="20"/>
        </w:rPr>
        <w:t>Succession</w:t>
      </w:r>
    </w:p>
    <w:p>
      <w:pPr>
        <w:pStyle w:val="ListBullet"/>
        <w:spacing w:after="20"/>
      </w:pPr>
      <w:r>
        <w:rPr>
          <w:rFonts w:ascii="Calibri" w:hAnsi="Calibri"/>
          <w:b w:val="0"/>
          <w:i w:val="0"/>
          <w:color w:val="222222"/>
          <w:sz w:val="20"/>
        </w:rPr>
        <w:t>Institutional memory</w:t>
      </w:r>
    </w:p>
    <w:p>
      <w:pPr>
        <w:spacing w:before="140" w:after="60"/>
      </w:pPr>
      <w:r>
        <w:rPr>
          <w:rFonts w:ascii="Calibri" w:hAnsi="Calibri"/>
          <w:b/>
          <w:i w:val="0"/>
          <w:color w:val="1A3A5C"/>
          <w:sz w:val="22"/>
        </w:rPr>
        <w:t>Example KPIs</w:t>
      </w:r>
    </w:p>
    <w:p>
      <w:pPr>
        <w:pStyle w:val="ListBullet"/>
        <w:spacing w:after="20"/>
      </w:pPr>
      <w:r>
        <w:rPr>
          <w:rFonts w:ascii="Calibri" w:hAnsi="Calibri"/>
          <w:b w:val="0"/>
          <w:i w:val="0"/>
          <w:color w:val="222222"/>
          <w:sz w:val="20"/>
        </w:rPr>
        <w:t>Leadership coverage</w:t>
      </w:r>
    </w:p>
    <w:p>
      <w:pPr>
        <w:pStyle w:val="ListBullet"/>
        <w:spacing w:after="20"/>
      </w:pPr>
      <w:r>
        <w:rPr>
          <w:rFonts w:ascii="Calibri" w:hAnsi="Calibri"/>
          <w:b w:val="0"/>
          <w:i w:val="0"/>
          <w:color w:val="222222"/>
          <w:sz w:val="20"/>
        </w:rPr>
        <w:t>Succession docs</w:t>
      </w:r>
    </w:p>
    <w:p>
      <w:pPr>
        <w:pStyle w:val="ListBullet"/>
        <w:spacing w:after="20"/>
      </w:pPr>
      <w:r>
        <w:rPr>
          <w:rFonts w:ascii="Calibri" w:hAnsi="Calibri"/>
          <w:b w:val="0"/>
          <w:i w:val="0"/>
          <w:color w:val="222222"/>
          <w:sz w:val="20"/>
        </w:rPr>
        <w:t>Delegation evidence</w:t>
      </w:r>
    </w:p>
    <w:p>
      <w:pPr>
        <w:pageBreakBefore/>
        <w:spacing w:after="160"/>
        <w:jc w:val="center"/>
      </w:pPr>
      <w:r>
        <w:rPr>
          <w:rFonts w:ascii="Calibri" w:hAnsi="Calibri"/>
          <w:b/>
          <w:i w:val="0"/>
          <w:color w:val="1A3A5C"/>
          <w:sz w:val="28"/>
        </w:rPr>
        <w:t>PART VII — CULTURE AND STEWARDSHIP</w:t>
      </w:r>
    </w:p>
    <w:p>
      <w:pPr>
        <w:spacing w:before="240" w:after="100"/>
      </w:pPr>
      <w:r>
        <w:rPr>
          <w:rFonts w:ascii="Calibri" w:hAnsi="Calibri"/>
          <w:b/>
          <w:i w:val="0"/>
          <w:color w:val="1A3A5C"/>
          <w:sz w:val="26"/>
        </w:rPr>
        <w:t>32. FairBanks Culture in Daily Decisions</w:t>
      </w:r>
    </w:p>
    <w:p>
      <w:pPr>
        <w:spacing w:after="80" w:before="0" w:line="259" w:lineRule="auto"/>
        <w:jc w:val="left"/>
      </w:pPr>
      <w:r>
        <w:rPr>
          <w:rFonts w:ascii="Calibri" w:hAnsi="Calibri"/>
          <w:b w:val="0"/>
          <w:i w:val="0"/>
          <w:color w:val="222222"/>
          <w:sz w:val="22"/>
        </w:rPr>
        <w:t>Before acting, ask:</w:t>
      </w:r>
    </w:p>
    <w:p>
      <w:pPr>
        <w:pStyle w:val="ListBullet"/>
        <w:spacing w:after="20"/>
      </w:pPr>
      <w:r>
        <w:rPr>
          <w:rFonts w:ascii="Calibri" w:hAnsi="Calibri"/>
          <w:b w:val="0"/>
          <w:i w:val="0"/>
          <w:color w:val="222222"/>
          <w:sz w:val="20"/>
        </w:rPr>
        <w:t>Does this improve patient care?</w:t>
      </w:r>
    </w:p>
    <w:p>
      <w:pPr>
        <w:pStyle w:val="ListBullet"/>
        <w:spacing w:after="20"/>
      </w:pPr>
      <w:r>
        <w:rPr>
          <w:rFonts w:ascii="Calibri" w:hAnsi="Calibri"/>
          <w:b w:val="0"/>
          <w:i w:val="0"/>
          <w:color w:val="222222"/>
          <w:sz w:val="20"/>
        </w:rPr>
        <w:t>Does this strengthen the family?</w:t>
      </w:r>
    </w:p>
    <w:p>
      <w:pPr>
        <w:pStyle w:val="ListBullet"/>
        <w:spacing w:after="20"/>
      </w:pPr>
      <w:r>
        <w:rPr>
          <w:rFonts w:ascii="Calibri" w:hAnsi="Calibri"/>
          <w:b w:val="0"/>
          <w:i w:val="0"/>
          <w:color w:val="222222"/>
          <w:sz w:val="20"/>
        </w:rPr>
        <w:t>Does this benefit the community?</w:t>
      </w:r>
    </w:p>
    <w:p>
      <w:pPr>
        <w:pStyle w:val="ListBullet"/>
        <w:spacing w:after="20"/>
      </w:pPr>
      <w:r>
        <w:rPr>
          <w:rFonts w:ascii="Calibri" w:hAnsi="Calibri"/>
          <w:b w:val="0"/>
          <w:i w:val="0"/>
          <w:color w:val="222222"/>
          <w:sz w:val="20"/>
        </w:rPr>
        <w:t>Does this protect institutional sustainability?</w:t>
      </w:r>
    </w:p>
    <w:p>
      <w:pPr>
        <w:pStyle w:val="ListBullet"/>
        <w:spacing w:after="20"/>
      </w:pPr>
      <w:r>
        <w:rPr>
          <w:rFonts w:ascii="Calibri" w:hAnsi="Calibri"/>
          <w:b w:val="0"/>
          <w:i w:val="0"/>
          <w:color w:val="222222"/>
          <w:sz w:val="20"/>
        </w:rPr>
        <w:t>Does this create useful knowledge?</w:t>
      </w:r>
    </w:p>
    <w:p>
      <w:pPr>
        <w:pStyle w:val="ListBullet"/>
        <w:spacing w:after="20"/>
      </w:pPr>
      <w:r>
        <w:rPr>
          <w:rFonts w:ascii="Calibri" w:hAnsi="Calibri"/>
          <w:b w:val="0"/>
          <w:i w:val="0"/>
          <w:color w:val="222222"/>
          <w:sz w:val="20"/>
        </w:rPr>
        <w:t>Does this strengthen trust?</w:t>
      </w:r>
    </w:p>
    <w:p>
      <w:pPr>
        <w:pStyle w:val="ListBullet"/>
        <w:spacing w:after="20"/>
      </w:pPr>
      <w:r>
        <w:rPr>
          <w:rFonts w:ascii="Calibri" w:hAnsi="Calibri"/>
          <w:b w:val="0"/>
          <w:i w:val="0"/>
          <w:color w:val="222222"/>
          <w:sz w:val="20"/>
        </w:rPr>
        <w:t>Does this honour the Covenant?</w:t>
      </w:r>
    </w:p>
    <w:p>
      <w:pPr>
        <w:spacing w:before="240" w:after="100"/>
      </w:pPr>
      <w:r>
        <w:rPr>
          <w:rFonts w:ascii="Calibri" w:hAnsi="Calibri"/>
          <w:b/>
          <w:i w:val="0"/>
          <w:color w:val="1A3A5C"/>
          <w:sz w:val="26"/>
        </w:rPr>
        <w:t>33. Covenant in Practice</w:t>
      </w:r>
    </w:p>
    <w:p>
      <w:pPr>
        <w:pStyle w:val="ListBullet"/>
        <w:spacing w:after="20"/>
      </w:pPr>
      <w:r>
        <w:rPr>
          <w:rFonts w:ascii="Calibri" w:hAnsi="Calibri"/>
          <w:b w:val="0"/>
          <w:i w:val="0"/>
          <w:color w:val="222222"/>
          <w:sz w:val="20"/>
        </w:rPr>
        <w:t>Reaffirm annually at Board</w:t>
      </w:r>
    </w:p>
    <w:p>
      <w:pPr>
        <w:pStyle w:val="ListBullet"/>
        <w:spacing w:after="20"/>
      </w:pPr>
      <w:r>
        <w:rPr>
          <w:rFonts w:ascii="Calibri" w:hAnsi="Calibri"/>
          <w:b w:val="0"/>
          <w:i w:val="0"/>
          <w:color w:val="222222"/>
          <w:sz w:val="20"/>
        </w:rPr>
        <w:t>Use in induction and appraisals</w:t>
      </w:r>
    </w:p>
    <w:p>
      <w:pPr>
        <w:pStyle w:val="ListBullet"/>
        <w:spacing w:after="20"/>
      </w:pPr>
      <w:r>
        <w:rPr>
          <w:rFonts w:ascii="Calibri" w:hAnsi="Calibri"/>
          <w:b w:val="0"/>
          <w:i w:val="0"/>
          <w:color w:val="222222"/>
          <w:sz w:val="20"/>
        </w:rPr>
        <w:t>Use in difficult trade-offs</w:t>
      </w:r>
    </w:p>
    <w:p>
      <w:pPr>
        <w:spacing w:before="240" w:after="100"/>
      </w:pPr>
      <w:r>
        <w:rPr>
          <w:rFonts w:ascii="Calibri" w:hAnsi="Calibri"/>
          <w:b/>
          <w:i w:val="0"/>
          <w:color w:val="1A3A5C"/>
          <w:sz w:val="26"/>
        </w:rPr>
        <w:t>34. Leadership and Succession</w:t>
      </w:r>
    </w:p>
    <w:p>
      <w:pPr>
        <w:pStyle w:val="ListBullet"/>
        <w:spacing w:after="20"/>
      </w:pPr>
      <w:r>
        <w:rPr>
          <w:rFonts w:ascii="Calibri" w:hAnsi="Calibri"/>
          <w:b w:val="0"/>
          <w:i w:val="0"/>
          <w:color w:val="222222"/>
          <w:sz w:val="20"/>
        </w:rPr>
        <w:t>Map critical roles and deputies</w:t>
      </w:r>
    </w:p>
    <w:p>
      <w:pPr>
        <w:pStyle w:val="ListBullet"/>
        <w:spacing w:after="20"/>
      </w:pPr>
      <w:r>
        <w:rPr>
          <w:rFonts w:ascii="Calibri" w:hAnsi="Calibri"/>
          <w:b w:val="0"/>
          <w:i w:val="0"/>
          <w:color w:val="222222"/>
          <w:sz w:val="20"/>
        </w:rPr>
        <w:t>Develop second-line leaders</w:t>
      </w:r>
    </w:p>
    <w:p>
      <w:pPr>
        <w:pStyle w:val="ListBullet"/>
        <w:spacing w:after="20"/>
      </w:pPr>
      <w:r>
        <w:rPr>
          <w:rFonts w:ascii="Calibri" w:hAnsi="Calibri"/>
          <w:b w:val="0"/>
          <w:i w:val="0"/>
          <w:color w:val="222222"/>
          <w:sz w:val="20"/>
        </w:rPr>
        <w:t>Document and share trapped knowledge</w:t>
      </w:r>
    </w:p>
    <w:p>
      <w:pPr>
        <w:pStyle w:val="ListBullet"/>
        <w:spacing w:after="20"/>
      </w:pPr>
      <w:r>
        <w:rPr>
          <w:rFonts w:ascii="Calibri" w:hAnsi="Calibri"/>
          <w:b w:val="0"/>
          <w:i w:val="0"/>
          <w:color w:val="222222"/>
          <w:sz w:val="20"/>
        </w:rPr>
        <w:t>Delegate real authority</w:t>
      </w:r>
    </w:p>
    <w:p>
      <w:pPr>
        <w:spacing w:before="240" w:after="100"/>
      </w:pPr>
      <w:r>
        <w:rPr>
          <w:rFonts w:ascii="Calibri" w:hAnsi="Calibri"/>
          <w:b/>
          <w:i w:val="0"/>
          <w:color w:val="1A3A5C"/>
          <w:sz w:val="26"/>
        </w:rPr>
        <w:t>35. Institutional Stewardship</w:t>
      </w:r>
    </w:p>
    <w:p>
      <w:pPr>
        <w:spacing w:after="80" w:before="0" w:line="259" w:lineRule="auto"/>
        <w:jc w:val="left"/>
      </w:pPr>
      <w:r>
        <w:rPr>
          <w:rFonts w:ascii="Calibri" w:hAnsi="Calibri"/>
          <w:b w:val="0"/>
          <w:i w:val="0"/>
          <w:color w:val="222222"/>
          <w:sz w:val="22"/>
        </w:rPr>
        <w:t>Every major investment or expansion must pass the Sustainability Playbook stewardship questions.</w:t>
      </w:r>
    </w:p>
    <w:p>
      <w:pPr>
        <w:pageBreakBefore/>
        <w:spacing w:after="160"/>
        <w:jc w:val="center"/>
      </w:pPr>
      <w:r>
        <w:rPr>
          <w:rFonts w:ascii="Calibri" w:hAnsi="Calibri"/>
          <w:b/>
          <w:i w:val="0"/>
          <w:color w:val="1A3A5C"/>
          <w:sz w:val="28"/>
        </w:rPr>
        <w:t>PART VIII — TOOLKIT POINTER AND QUICK REFERENCE</w:t>
      </w:r>
    </w:p>
    <w:p>
      <w:pPr>
        <w:spacing w:before="240" w:after="100"/>
      </w:pPr>
      <w:r>
        <w:rPr>
          <w:rFonts w:ascii="Calibri" w:hAnsi="Calibri"/>
          <w:b/>
          <w:i w:val="0"/>
          <w:color w:val="1A3A5C"/>
          <w:sz w:val="26"/>
        </w:rPr>
        <w:t>36. Management Toolkit (companion)</w:t>
      </w:r>
    </w:p>
    <w:p>
      <w:pPr>
        <w:spacing w:after="80" w:before="0" w:line="259" w:lineRule="auto"/>
        <w:jc w:val="left"/>
      </w:pPr>
      <w:r>
        <w:rPr>
          <w:rFonts w:ascii="Calibri" w:hAnsi="Calibri"/>
          <w:b w:val="0"/>
          <w:i w:val="0"/>
          <w:color w:val="222222"/>
          <w:sz w:val="22"/>
        </w:rPr>
        <w:t>Blank forms, registers and scorecards are maintained in the separate companion: FairBanks Management Toolkit v1.0.0. The Handbook stays compact; managers print and reuse Toolkit forms.</w:t>
      </w:r>
    </w:p>
    <w:tbl>
      <w:tblPr>
        <w:tblStyle w:val="TableGrid"/>
        <w:tblW w:type="auto" w:w="0"/>
        <w:tblLook w:firstColumn="1" w:firstRow="1" w:lastColumn="0" w:lastRow="0" w:noHBand="0" w:noVBand="1" w:val="04A0"/>
      </w:tblPr>
      <w:tblGrid>
        <w:gridCol w:w="4896"/>
        <w:gridCol w:w="4896"/>
      </w:tblGrid>
      <w:tr>
        <w:tc>
          <w:tcPr>
            <w:tcW w:type="dxa" w:w="4896"/>
            <w:shd w:fill="1A3A5C" w:val="clear"/>
          </w:tcPr>
          <w:p>
            <w:r/>
            <w:r>
              <w:rPr>
                <w:rFonts w:ascii="Calibri" w:hAnsi="Calibri"/>
                <w:b/>
                <w:i w:val="0"/>
                <w:color w:val="FFFFFF"/>
                <w:sz w:val="18"/>
              </w:rPr>
              <w:t>Tool</w:t>
            </w:r>
          </w:p>
        </w:tc>
        <w:tc>
          <w:tcPr>
            <w:tcW w:type="dxa" w:w="4896"/>
            <w:shd w:fill="1A3A5C" w:val="clear"/>
          </w:tcPr>
          <w:p>
            <w:r/>
            <w:r>
              <w:rPr>
                <w:rFonts w:ascii="Calibri" w:hAnsi="Calibri"/>
                <w:b/>
                <w:i w:val="0"/>
                <w:color w:val="FFFFFF"/>
                <w:sz w:val="18"/>
              </w:rPr>
              <w:t>Name</w:t>
            </w:r>
          </w:p>
        </w:tc>
      </w:tr>
      <w:tr>
        <w:tc>
          <w:tcPr>
            <w:tcW w:type="dxa" w:w="4896"/>
          </w:tcPr>
          <w:p>
            <w:r/>
            <w:r>
              <w:rPr>
                <w:rFonts w:ascii="Calibri" w:hAnsi="Calibri"/>
                <w:b w:val="0"/>
                <w:i w:val="0"/>
                <w:color w:val="222222"/>
                <w:sz w:val="18"/>
              </w:rPr>
              <w:t>1</w:t>
            </w:r>
          </w:p>
        </w:tc>
        <w:tc>
          <w:tcPr>
            <w:tcW w:type="dxa" w:w="4896"/>
          </w:tcPr>
          <w:p>
            <w:r/>
            <w:r>
              <w:rPr>
                <w:rFonts w:ascii="Calibri" w:hAnsi="Calibri"/>
                <w:b w:val="0"/>
                <w:i w:val="0"/>
                <w:color w:val="222222"/>
                <w:sz w:val="18"/>
              </w:rPr>
              <w:t>Annual Department Work Plan</w:t>
            </w:r>
          </w:p>
        </w:tc>
      </w:tr>
      <w:tr>
        <w:tc>
          <w:tcPr>
            <w:tcW w:type="dxa" w:w="4896"/>
          </w:tcPr>
          <w:p>
            <w:r/>
            <w:r>
              <w:rPr>
                <w:rFonts w:ascii="Calibri" w:hAnsi="Calibri"/>
                <w:b w:val="0"/>
                <w:i w:val="0"/>
                <w:color w:val="222222"/>
                <w:sz w:val="18"/>
              </w:rPr>
              <w:t>2</w:t>
            </w:r>
          </w:p>
        </w:tc>
        <w:tc>
          <w:tcPr>
            <w:tcW w:type="dxa" w:w="4896"/>
          </w:tcPr>
          <w:p>
            <w:r/>
            <w:r>
              <w:rPr>
                <w:rFonts w:ascii="Calibri" w:hAnsi="Calibri"/>
                <w:b w:val="0"/>
                <w:i w:val="0"/>
                <w:color w:val="222222"/>
                <w:sz w:val="18"/>
              </w:rPr>
              <w:t>Monthly Performance Dashboard</w:t>
            </w:r>
          </w:p>
        </w:tc>
      </w:tr>
      <w:tr>
        <w:tc>
          <w:tcPr>
            <w:tcW w:type="dxa" w:w="4896"/>
          </w:tcPr>
          <w:p>
            <w:r/>
            <w:r>
              <w:rPr>
                <w:rFonts w:ascii="Calibri" w:hAnsi="Calibri"/>
                <w:b w:val="0"/>
                <w:i w:val="0"/>
                <w:color w:val="222222"/>
                <w:sz w:val="18"/>
              </w:rPr>
              <w:t>3</w:t>
            </w:r>
          </w:p>
        </w:tc>
        <w:tc>
          <w:tcPr>
            <w:tcW w:type="dxa" w:w="4896"/>
          </w:tcPr>
          <w:p>
            <w:r/>
            <w:r>
              <w:rPr>
                <w:rFonts w:ascii="Calibri" w:hAnsi="Calibri"/>
                <w:b w:val="0"/>
                <w:i w:val="0"/>
                <w:color w:val="222222"/>
                <w:sz w:val="18"/>
              </w:rPr>
              <w:t>Quarterly Transformation Scorecard (RAG)</w:t>
            </w:r>
          </w:p>
        </w:tc>
      </w:tr>
      <w:tr>
        <w:tc>
          <w:tcPr>
            <w:tcW w:type="dxa" w:w="4896"/>
          </w:tcPr>
          <w:p>
            <w:r/>
            <w:r>
              <w:rPr>
                <w:rFonts w:ascii="Calibri" w:hAnsi="Calibri"/>
                <w:b w:val="0"/>
                <w:i w:val="0"/>
                <w:color w:val="222222"/>
                <w:sz w:val="18"/>
              </w:rPr>
              <w:t>4</w:t>
            </w:r>
          </w:p>
        </w:tc>
        <w:tc>
          <w:tcPr>
            <w:tcW w:type="dxa" w:w="4896"/>
          </w:tcPr>
          <w:p>
            <w:r/>
            <w:r>
              <w:rPr>
                <w:rFonts w:ascii="Calibri" w:hAnsi="Calibri"/>
                <w:b w:val="0"/>
                <w:i w:val="0"/>
                <w:color w:val="222222"/>
                <w:sz w:val="18"/>
              </w:rPr>
              <w:t>Transformation Gate Evidence Checklist</w:t>
            </w:r>
          </w:p>
        </w:tc>
      </w:tr>
      <w:tr>
        <w:tc>
          <w:tcPr>
            <w:tcW w:type="dxa" w:w="4896"/>
          </w:tcPr>
          <w:p>
            <w:r/>
            <w:r>
              <w:rPr>
                <w:rFonts w:ascii="Calibri" w:hAnsi="Calibri"/>
                <w:b w:val="0"/>
                <w:i w:val="0"/>
                <w:color w:val="222222"/>
                <w:sz w:val="18"/>
              </w:rPr>
              <w:t>5</w:t>
            </w:r>
          </w:p>
        </w:tc>
        <w:tc>
          <w:tcPr>
            <w:tcW w:type="dxa" w:w="4896"/>
          </w:tcPr>
          <w:p>
            <w:r/>
            <w:r>
              <w:rPr>
                <w:rFonts w:ascii="Calibri" w:hAnsi="Calibri"/>
                <w:b w:val="0"/>
                <w:i w:val="0"/>
                <w:color w:val="222222"/>
                <w:sz w:val="18"/>
              </w:rPr>
              <w:t>Risk Register</w:t>
            </w:r>
          </w:p>
        </w:tc>
      </w:tr>
      <w:tr>
        <w:tc>
          <w:tcPr>
            <w:tcW w:type="dxa" w:w="4896"/>
          </w:tcPr>
          <w:p>
            <w:r/>
            <w:r>
              <w:rPr>
                <w:rFonts w:ascii="Calibri" w:hAnsi="Calibri"/>
                <w:b w:val="0"/>
                <w:i w:val="0"/>
                <w:color w:val="222222"/>
                <w:sz w:val="18"/>
              </w:rPr>
              <w:t>6</w:t>
            </w:r>
          </w:p>
        </w:tc>
        <w:tc>
          <w:tcPr>
            <w:tcW w:type="dxa" w:w="4896"/>
          </w:tcPr>
          <w:p>
            <w:r/>
            <w:r>
              <w:rPr>
                <w:rFonts w:ascii="Calibri" w:hAnsi="Calibri"/>
                <w:b w:val="0"/>
                <w:i w:val="0"/>
                <w:color w:val="222222"/>
                <w:sz w:val="18"/>
              </w:rPr>
              <w:t>Partnership Tracker</w:t>
            </w:r>
          </w:p>
        </w:tc>
      </w:tr>
      <w:tr>
        <w:tc>
          <w:tcPr>
            <w:tcW w:type="dxa" w:w="4896"/>
          </w:tcPr>
          <w:p>
            <w:r/>
            <w:r>
              <w:rPr>
                <w:rFonts w:ascii="Calibri" w:hAnsi="Calibri"/>
                <w:b w:val="0"/>
                <w:i w:val="0"/>
                <w:color w:val="222222"/>
                <w:sz w:val="18"/>
              </w:rPr>
              <w:t>7</w:t>
            </w:r>
          </w:p>
        </w:tc>
        <w:tc>
          <w:tcPr>
            <w:tcW w:type="dxa" w:w="4896"/>
          </w:tcPr>
          <w:p>
            <w:r/>
            <w:r>
              <w:rPr>
                <w:rFonts w:ascii="Calibri" w:hAnsi="Calibri"/>
                <w:b w:val="0"/>
                <w:i w:val="0"/>
                <w:color w:val="222222"/>
                <w:sz w:val="18"/>
              </w:rPr>
              <w:t>Innovation Proposal / Canvas</w:t>
            </w:r>
          </w:p>
        </w:tc>
      </w:tr>
      <w:tr>
        <w:tc>
          <w:tcPr>
            <w:tcW w:type="dxa" w:w="4896"/>
          </w:tcPr>
          <w:p>
            <w:r/>
            <w:r>
              <w:rPr>
                <w:rFonts w:ascii="Calibri" w:hAnsi="Calibri"/>
                <w:b w:val="0"/>
                <w:i w:val="0"/>
                <w:color w:val="222222"/>
                <w:sz w:val="18"/>
              </w:rPr>
              <w:t>8</w:t>
            </w:r>
          </w:p>
        </w:tc>
        <w:tc>
          <w:tcPr>
            <w:tcW w:type="dxa" w:w="4896"/>
          </w:tcPr>
          <w:p>
            <w:r/>
            <w:r>
              <w:rPr>
                <w:rFonts w:ascii="Calibri" w:hAnsi="Calibri"/>
                <w:b w:val="0"/>
                <w:i w:val="0"/>
                <w:color w:val="222222"/>
                <w:sz w:val="18"/>
              </w:rPr>
              <w:t>Project Status Report</w:t>
            </w:r>
          </w:p>
        </w:tc>
      </w:tr>
      <w:tr>
        <w:tc>
          <w:tcPr>
            <w:tcW w:type="dxa" w:w="4896"/>
          </w:tcPr>
          <w:p>
            <w:r/>
            <w:r>
              <w:rPr>
                <w:rFonts w:ascii="Calibri" w:hAnsi="Calibri"/>
                <w:b w:val="0"/>
                <w:i w:val="0"/>
                <w:color w:val="222222"/>
                <w:sz w:val="18"/>
              </w:rPr>
              <w:t>9</w:t>
            </w:r>
          </w:p>
        </w:tc>
        <w:tc>
          <w:tcPr>
            <w:tcW w:type="dxa" w:w="4896"/>
          </w:tcPr>
          <w:p>
            <w:r/>
            <w:r>
              <w:rPr>
                <w:rFonts w:ascii="Calibri" w:hAnsi="Calibri"/>
                <w:b w:val="0"/>
                <w:i w:val="0"/>
                <w:color w:val="222222"/>
                <w:sz w:val="18"/>
              </w:rPr>
              <w:t>Lessons Learned Template</w:t>
            </w:r>
          </w:p>
        </w:tc>
      </w:tr>
      <w:tr>
        <w:tc>
          <w:tcPr>
            <w:tcW w:type="dxa" w:w="4896"/>
          </w:tcPr>
          <w:p>
            <w:r/>
            <w:r>
              <w:rPr>
                <w:rFonts w:ascii="Calibri" w:hAnsi="Calibri"/>
                <w:b w:val="0"/>
                <w:i w:val="0"/>
                <w:color w:val="222222"/>
                <w:sz w:val="18"/>
              </w:rPr>
              <w:t>10</w:t>
            </w:r>
          </w:p>
        </w:tc>
        <w:tc>
          <w:tcPr>
            <w:tcW w:type="dxa" w:w="4896"/>
          </w:tcPr>
          <w:p>
            <w:r/>
            <w:r>
              <w:rPr>
                <w:rFonts w:ascii="Calibri" w:hAnsi="Calibri"/>
                <w:b w:val="0"/>
                <w:i w:val="0"/>
                <w:color w:val="222222"/>
                <w:sz w:val="18"/>
              </w:rPr>
              <w:t>Corrective Action Register</w:t>
            </w:r>
          </w:p>
        </w:tc>
      </w:tr>
      <w:tr>
        <w:tc>
          <w:tcPr>
            <w:tcW w:type="dxa" w:w="4896"/>
          </w:tcPr>
          <w:p>
            <w:r/>
            <w:r>
              <w:rPr>
                <w:rFonts w:ascii="Calibri" w:hAnsi="Calibri"/>
                <w:b w:val="0"/>
                <w:i w:val="0"/>
                <w:color w:val="222222"/>
                <w:sz w:val="18"/>
              </w:rPr>
              <w:t>11</w:t>
            </w:r>
          </w:p>
        </w:tc>
        <w:tc>
          <w:tcPr>
            <w:tcW w:type="dxa" w:w="4896"/>
          </w:tcPr>
          <w:p>
            <w:r/>
            <w:r>
              <w:rPr>
                <w:rFonts w:ascii="Calibri" w:hAnsi="Calibri"/>
                <w:b w:val="0"/>
                <w:i w:val="0"/>
                <w:color w:val="222222"/>
                <w:sz w:val="18"/>
              </w:rPr>
              <w:t>Staff Transformation Self-Assessment</w:t>
            </w:r>
          </w:p>
        </w:tc>
      </w:tr>
      <w:tr>
        <w:tc>
          <w:tcPr>
            <w:tcW w:type="dxa" w:w="4896"/>
          </w:tcPr>
          <w:p>
            <w:r/>
            <w:r>
              <w:rPr>
                <w:rFonts w:ascii="Calibri" w:hAnsi="Calibri"/>
                <w:b w:val="0"/>
                <w:i w:val="0"/>
                <w:color w:val="222222"/>
                <w:sz w:val="18"/>
              </w:rPr>
              <w:t>12</w:t>
            </w:r>
          </w:p>
        </w:tc>
        <w:tc>
          <w:tcPr>
            <w:tcW w:type="dxa" w:w="4896"/>
          </w:tcPr>
          <w:p>
            <w:r/>
            <w:r>
              <w:rPr>
                <w:rFonts w:ascii="Calibri" w:hAnsi="Calibri"/>
                <w:b w:val="0"/>
                <w:i w:val="0"/>
                <w:color w:val="222222"/>
                <w:sz w:val="18"/>
              </w:rPr>
              <w:t>Department Head Readiness Assessment</w:t>
            </w:r>
          </w:p>
        </w:tc>
      </w:tr>
      <w:tr>
        <w:tc>
          <w:tcPr>
            <w:tcW w:type="dxa" w:w="4896"/>
          </w:tcPr>
          <w:p>
            <w:r/>
            <w:r>
              <w:rPr>
                <w:rFonts w:ascii="Calibri" w:hAnsi="Calibri"/>
                <w:b w:val="0"/>
                <w:i w:val="0"/>
                <w:color w:val="222222"/>
                <w:sz w:val="18"/>
              </w:rPr>
              <w:t>13</w:t>
            </w:r>
          </w:p>
        </w:tc>
        <w:tc>
          <w:tcPr>
            <w:tcW w:type="dxa" w:w="4896"/>
          </w:tcPr>
          <w:p>
            <w:r/>
            <w:r>
              <w:rPr>
                <w:rFonts w:ascii="Calibri" w:hAnsi="Calibri"/>
                <w:b w:val="0"/>
                <w:i w:val="0"/>
                <w:color w:val="222222"/>
                <w:sz w:val="18"/>
              </w:rPr>
              <w:t>Board Gate Decision Form</w:t>
            </w:r>
          </w:p>
        </w:tc>
      </w:tr>
    </w:tbl>
    <w:p/>
    <w:p>
      <w:pPr>
        <w:spacing w:before="240" w:after="100"/>
      </w:pPr>
      <w:r>
        <w:rPr>
          <w:rFonts w:ascii="Calibri" w:hAnsi="Calibri"/>
          <w:b/>
          <w:i w:val="0"/>
          <w:color w:val="1A3A5C"/>
          <w:sz w:val="26"/>
        </w:rPr>
        <w:t>37–38. First 90 Days</w:t>
      </w:r>
    </w:p>
    <w:p>
      <w:pPr>
        <w:spacing w:before="140" w:after="60"/>
      </w:pPr>
      <w:r>
        <w:rPr>
          <w:rFonts w:ascii="Calibri" w:hAnsi="Calibri"/>
          <w:b/>
          <w:i w:val="0"/>
          <w:color w:val="1A3A5C"/>
          <w:sz w:val="22"/>
        </w:rPr>
        <w:t>Day 1–30 — Understand</w:t>
      </w:r>
    </w:p>
    <w:p>
      <w:pPr>
        <w:pStyle w:val="ListBullet"/>
        <w:spacing w:after="20"/>
      </w:pPr>
      <w:r>
        <w:rPr>
          <w:rFonts w:ascii="Calibri" w:hAnsi="Calibri"/>
          <w:b w:val="0"/>
          <w:i w:val="0"/>
          <w:color w:val="222222"/>
          <w:sz w:val="20"/>
        </w:rPr>
        <w:t>Read Blueprint Executive Summary, At a Glance, Chapter 10</w:t>
      </w:r>
    </w:p>
    <w:p>
      <w:pPr>
        <w:pStyle w:val="ListBullet"/>
        <w:spacing w:after="20"/>
      </w:pPr>
      <w:r>
        <w:rPr>
          <w:rFonts w:ascii="Calibri" w:hAnsi="Calibri"/>
          <w:b w:val="0"/>
          <w:i w:val="0"/>
          <w:color w:val="222222"/>
          <w:sz w:val="20"/>
        </w:rPr>
        <w:t>Read Handbook Parts I–III</w:t>
      </w:r>
    </w:p>
    <w:p>
      <w:pPr>
        <w:pStyle w:val="ListBullet"/>
        <w:spacing w:after="20"/>
      </w:pPr>
      <w:r>
        <w:rPr>
          <w:rFonts w:ascii="Calibri" w:hAnsi="Calibri"/>
          <w:b w:val="0"/>
          <w:i w:val="0"/>
          <w:color w:val="222222"/>
          <w:sz w:val="20"/>
        </w:rPr>
        <w:t>Clarify role and stage</w:t>
      </w:r>
    </w:p>
    <w:p>
      <w:pPr>
        <w:spacing w:before="140" w:after="60"/>
      </w:pPr>
      <w:r>
        <w:rPr>
          <w:rFonts w:ascii="Calibri" w:hAnsi="Calibri"/>
          <w:b/>
          <w:i w:val="0"/>
          <w:color w:val="1A3A5C"/>
          <w:sz w:val="22"/>
        </w:rPr>
        <w:t>Day 31–60 — Align</w:t>
      </w:r>
    </w:p>
    <w:p>
      <w:pPr>
        <w:pStyle w:val="ListBullet"/>
        <w:spacing w:after="20"/>
      </w:pPr>
      <w:r>
        <w:rPr>
          <w:rFonts w:ascii="Calibri" w:hAnsi="Calibri"/>
          <w:b w:val="0"/>
          <w:i w:val="0"/>
          <w:color w:val="222222"/>
          <w:sz w:val="20"/>
        </w:rPr>
        <w:t>Confirm objectives and KPIs</w:t>
      </w:r>
    </w:p>
    <w:p>
      <w:pPr>
        <w:pStyle w:val="ListBullet"/>
        <w:spacing w:after="20"/>
      </w:pPr>
      <w:r>
        <w:rPr>
          <w:rFonts w:ascii="Calibri" w:hAnsi="Calibri"/>
          <w:b w:val="0"/>
          <w:i w:val="0"/>
          <w:color w:val="222222"/>
          <w:sz w:val="20"/>
        </w:rPr>
        <w:t>Log top risks</w:t>
      </w:r>
    </w:p>
    <w:p>
      <w:pPr>
        <w:pStyle w:val="ListBullet"/>
        <w:spacing w:after="20"/>
      </w:pPr>
      <w:r>
        <w:rPr>
          <w:rFonts w:ascii="Calibri" w:hAnsi="Calibri"/>
          <w:b w:val="0"/>
          <w:i w:val="0"/>
          <w:color w:val="222222"/>
          <w:sz w:val="20"/>
        </w:rPr>
        <w:t>Agree evidence</w:t>
      </w:r>
    </w:p>
    <w:p>
      <w:pPr>
        <w:pStyle w:val="ListBullet"/>
        <w:spacing w:after="20"/>
      </w:pPr>
      <w:r>
        <w:rPr>
          <w:rFonts w:ascii="Calibri" w:hAnsi="Calibri"/>
          <w:b w:val="0"/>
          <w:i w:val="0"/>
          <w:color w:val="222222"/>
          <w:sz w:val="20"/>
        </w:rPr>
        <w:t>Join monthly rhythm</w:t>
      </w:r>
    </w:p>
    <w:p>
      <w:pPr>
        <w:spacing w:before="140" w:after="60"/>
      </w:pPr>
      <w:r>
        <w:rPr>
          <w:rFonts w:ascii="Calibri" w:hAnsi="Calibri"/>
          <w:b/>
          <w:i w:val="0"/>
          <w:color w:val="1A3A5C"/>
          <w:sz w:val="22"/>
        </w:rPr>
        <w:t>Day 61–90 — Execute</w:t>
      </w:r>
    </w:p>
    <w:p>
      <w:pPr>
        <w:pStyle w:val="ListBullet"/>
        <w:spacing w:after="20"/>
      </w:pPr>
      <w:r>
        <w:rPr>
          <w:rFonts w:ascii="Calibri" w:hAnsi="Calibri"/>
          <w:b w:val="0"/>
          <w:i w:val="0"/>
          <w:color w:val="222222"/>
          <w:sz w:val="20"/>
        </w:rPr>
        <w:t>Deliver 3–5 milestones</w:t>
      </w:r>
    </w:p>
    <w:p>
      <w:pPr>
        <w:pStyle w:val="ListBullet"/>
        <w:spacing w:after="20"/>
      </w:pPr>
      <w:r>
        <w:rPr>
          <w:rFonts w:ascii="Calibri" w:hAnsi="Calibri"/>
          <w:b w:val="0"/>
          <w:i w:val="0"/>
          <w:color w:val="222222"/>
          <w:sz w:val="20"/>
        </w:rPr>
        <w:t>Close one corrective action</w:t>
      </w:r>
    </w:p>
    <w:p>
      <w:pPr>
        <w:pStyle w:val="ListBullet"/>
        <w:spacing w:after="20"/>
      </w:pPr>
      <w:r>
        <w:rPr>
          <w:rFonts w:ascii="Calibri" w:hAnsi="Calibri"/>
          <w:b w:val="0"/>
          <w:i w:val="0"/>
          <w:color w:val="222222"/>
          <w:sz w:val="20"/>
        </w:rPr>
        <w:t>File one lesson learned</w:t>
      </w:r>
    </w:p>
    <w:p>
      <w:pPr>
        <w:pStyle w:val="ListBullet"/>
        <w:spacing w:after="20"/>
      </w:pPr>
      <w:r>
        <w:rPr>
          <w:rFonts w:ascii="Calibri" w:hAnsi="Calibri"/>
          <w:b w:val="0"/>
          <w:i w:val="0"/>
          <w:color w:val="222222"/>
          <w:sz w:val="20"/>
        </w:rPr>
        <w:t>Know next Gate/quarterly date</w:t>
      </w:r>
    </w:p>
    <w:p>
      <w:pPr>
        <w:spacing w:before="240" w:after="100"/>
      </w:pPr>
      <w:r>
        <w:rPr>
          <w:rFonts w:ascii="Calibri" w:hAnsi="Calibri"/>
          <w:b/>
          <w:i w:val="0"/>
          <w:color w:val="1A3A5C"/>
          <w:sz w:val="26"/>
        </w:rPr>
        <w:t>39. Escalation rules</w:t>
      </w:r>
    </w:p>
    <w:p>
      <w:pPr>
        <w:pStyle w:val="ListBullet"/>
        <w:spacing w:after="20"/>
      </w:pPr>
      <w:r>
        <w:rPr>
          <w:rFonts w:ascii="Calibri" w:hAnsi="Calibri"/>
          <w:b w:val="0"/>
          <w:i w:val="0"/>
          <w:color w:val="222222"/>
          <w:sz w:val="20"/>
        </w:rPr>
        <w:t>Patient safety — escalate immediately via clinical chain</w:t>
      </w:r>
    </w:p>
    <w:p>
      <w:pPr>
        <w:pStyle w:val="ListBullet"/>
        <w:spacing w:after="20"/>
      </w:pPr>
      <w:r>
        <w:rPr>
          <w:rFonts w:ascii="Calibri" w:hAnsi="Calibri"/>
          <w:b w:val="0"/>
          <w:i w:val="0"/>
          <w:color w:val="222222"/>
          <w:sz w:val="20"/>
        </w:rPr>
        <w:t>Red KPI for two months — escalate to Director/MD</w:t>
      </w:r>
    </w:p>
    <w:p>
      <w:pPr>
        <w:pStyle w:val="ListBullet"/>
        <w:spacing w:after="20"/>
      </w:pPr>
      <w:r>
        <w:rPr>
          <w:rFonts w:ascii="Calibri" w:hAnsi="Calibri"/>
          <w:b w:val="0"/>
          <w:i w:val="0"/>
          <w:color w:val="222222"/>
          <w:sz w:val="20"/>
        </w:rPr>
        <w:t>Material financial/partnership risk — escalate to MD/Board as required</w:t>
      </w:r>
    </w:p>
    <w:p>
      <w:pPr>
        <w:pStyle w:val="ListBullet"/>
        <w:spacing w:after="20"/>
      </w:pPr>
      <w:r>
        <w:rPr>
          <w:rFonts w:ascii="Calibri" w:hAnsi="Calibri"/>
          <w:b w:val="0"/>
          <w:i w:val="0"/>
          <w:color w:val="222222"/>
          <w:sz w:val="20"/>
        </w:rPr>
        <w:t>Terminology drift / parallel frameworks — stop; return to Blueprint/Handbook</w:t>
      </w:r>
    </w:p>
    <w:p>
      <w:pPr>
        <w:spacing w:before="240" w:after="100"/>
      </w:pPr>
      <w:r>
        <w:rPr>
          <w:rFonts w:ascii="Calibri" w:hAnsi="Calibri"/>
          <w:b/>
          <w:i w:val="0"/>
          <w:color w:val="1A3A5C"/>
          <w:sz w:val="26"/>
        </w:rPr>
        <w:t>40. Institutional Language &amp; Terminology</w:t>
      </w:r>
    </w:p>
    <w:p>
      <w:pPr>
        <w:pStyle w:val="ListBullet"/>
        <w:spacing w:after="20"/>
      </w:pPr>
      <w:r>
        <w:rPr>
          <w:rFonts w:ascii="Calibri" w:hAnsi="Calibri"/>
          <w:b w:val="0"/>
          <w:i w:val="0"/>
          <w:color w:val="222222"/>
          <w:sz w:val="20"/>
        </w:rPr>
        <w:t>Say “2027–2032 strategic horizon” (not “five-year strategic period”)</w:t>
      </w:r>
    </w:p>
    <w:p>
      <w:pPr>
        <w:pStyle w:val="ListBullet"/>
        <w:spacing w:after="20"/>
      </w:pPr>
      <w:r>
        <w:rPr>
          <w:rFonts w:ascii="Calibri" w:hAnsi="Calibri"/>
          <w:b w:val="0"/>
          <w:i w:val="0"/>
          <w:color w:val="222222"/>
          <w:sz w:val="20"/>
        </w:rPr>
        <w:t>Say “five-stage transformation journey”</w:t>
      </w:r>
    </w:p>
    <w:p>
      <w:pPr>
        <w:pStyle w:val="ListBullet"/>
        <w:spacing w:after="20"/>
      </w:pPr>
      <w:r>
        <w:rPr>
          <w:rFonts w:ascii="Calibri" w:hAnsi="Calibri"/>
          <w:b w:val="0"/>
          <w:i w:val="0"/>
          <w:color w:val="222222"/>
          <w:sz w:val="20"/>
        </w:rPr>
        <w:t>Keep stages: 2027 Foundation → 2028 Integration → 2029 Innovation → 2030–2031 Leadership → 2032 Sustainability</w:t>
      </w:r>
    </w:p>
    <w:p>
      <w:pPr>
        <w:pStyle w:val="ListBullet"/>
        <w:spacing w:after="20"/>
      </w:pPr>
      <w:r>
        <w:rPr>
          <w:rFonts w:ascii="Calibri" w:hAnsi="Calibri"/>
          <w:b w:val="0"/>
          <w:i w:val="0"/>
          <w:color w:val="222222"/>
          <w:sz w:val="20"/>
        </w:rPr>
        <w:t>Treat FCHIP/CHIP as phased/designed unless evidence shows otherwise</w:t>
      </w:r>
    </w:p>
    <w:p>
      <w:pPr>
        <w:pStyle w:val="ListBullet"/>
        <w:spacing w:after="20"/>
      </w:pPr>
      <w:r>
        <w:rPr>
          <w:rFonts w:ascii="Calibri" w:hAnsi="Calibri"/>
          <w:b w:val="0"/>
          <w:i w:val="0"/>
          <w:color w:val="222222"/>
          <w:sz w:val="20"/>
        </w:rPr>
        <w:t>Use URA address and TIN 1053370026 for formal particulars</w:t>
      </w:r>
    </w:p>
    <w:p>
      <w:pPr>
        <w:pStyle w:val="ListBullet"/>
        <w:spacing w:after="20"/>
      </w:pPr>
      <w:r>
        <w:rPr>
          <w:rFonts w:ascii="Calibri" w:hAnsi="Calibri"/>
          <w:b w:val="0"/>
          <w:i w:val="0"/>
          <w:color w:val="222222"/>
          <w:sz w:val="20"/>
        </w:rPr>
        <w:t>Catchment names (e.g. Kyebando) are outreach geography — not headquarters address</w:t>
      </w:r>
    </w:p>
    <w:p>
      <w:pPr>
        <w:spacing w:before="240" w:after="100"/>
      </w:pPr>
      <w:r>
        <w:rPr>
          <w:rFonts w:ascii="Calibri" w:hAnsi="Calibri"/>
          <w:b/>
          <w:i w:val="0"/>
          <w:color w:val="1A3A5C"/>
          <w:sz w:val="26"/>
        </w:rPr>
        <w:t>41. Success picture for tracking</w:t>
      </w:r>
    </w:p>
    <w:p>
      <w:pPr>
        <w:spacing w:after="80" w:before="0" w:line="259" w:lineRule="auto"/>
        <w:jc w:val="left"/>
      </w:pPr>
      <w:r>
        <w:rPr>
          <w:rFonts w:ascii="Calibri" w:hAnsi="Calibri"/>
          <w:b w:val="0"/>
          <w:i w:val="0"/>
          <w:color w:val="222222"/>
          <w:sz w:val="22"/>
        </w:rPr>
        <w:t>By the end of the 2027–2032 strategic horizon, FairBanks aims to be recognised for:</w:t>
      </w:r>
    </w:p>
    <w:p>
      <w:pPr>
        <w:pStyle w:val="ListBullet"/>
        <w:spacing w:after="20"/>
      </w:pPr>
      <w:r>
        <w:rPr>
          <w:rFonts w:ascii="Calibri" w:hAnsi="Calibri"/>
          <w:b w:val="0"/>
          <w:i w:val="0"/>
          <w:color w:val="222222"/>
          <w:sz w:val="20"/>
        </w:rPr>
        <w:t>Making significant progress toward becoming Uganda's leading Family &amp; Community Health Social Enterprise</w:t>
      </w:r>
    </w:p>
    <w:p>
      <w:pPr>
        <w:pStyle w:val="ListBullet"/>
        <w:spacing w:after="20"/>
      </w:pPr>
      <w:r>
        <w:rPr>
          <w:rFonts w:ascii="Calibri" w:hAnsi="Calibri"/>
          <w:b w:val="0"/>
          <w:i w:val="0"/>
          <w:color w:val="222222"/>
          <w:sz w:val="20"/>
        </w:rPr>
        <w:t>Trusted for integrated healthcare services</w:t>
      </w:r>
    </w:p>
    <w:p>
      <w:pPr>
        <w:pStyle w:val="ListBullet"/>
        <w:spacing w:after="20"/>
      </w:pPr>
      <w:r>
        <w:rPr>
          <w:rFonts w:ascii="Calibri" w:hAnsi="Calibri"/>
          <w:b w:val="0"/>
          <w:i w:val="0"/>
          <w:color w:val="222222"/>
          <w:sz w:val="20"/>
        </w:rPr>
        <w:t>Recognised for excellence in community health and preventive care</w:t>
      </w:r>
    </w:p>
    <w:p>
      <w:pPr>
        <w:pStyle w:val="ListBullet"/>
        <w:spacing w:after="20"/>
      </w:pPr>
      <w:r>
        <w:rPr>
          <w:rFonts w:ascii="Calibri" w:hAnsi="Calibri"/>
          <w:b w:val="0"/>
          <w:i w:val="0"/>
          <w:color w:val="222222"/>
          <w:sz w:val="20"/>
        </w:rPr>
        <w:t>Recognised as a leader in digital health and community health intelligence</w:t>
      </w:r>
    </w:p>
    <w:p>
      <w:pPr>
        <w:pStyle w:val="ListBullet"/>
        <w:spacing w:after="20"/>
      </w:pPr>
      <w:r>
        <w:rPr>
          <w:rFonts w:ascii="Calibri" w:hAnsi="Calibri"/>
          <w:b w:val="0"/>
          <w:i w:val="0"/>
          <w:color w:val="222222"/>
          <w:sz w:val="20"/>
        </w:rPr>
        <w:t>Recognised as a respected research and innovation partner</w:t>
      </w:r>
    </w:p>
    <w:p>
      <w:pPr>
        <w:pStyle w:val="ListBullet"/>
        <w:spacing w:after="20"/>
      </w:pPr>
      <w:r>
        <w:rPr>
          <w:rFonts w:ascii="Calibri" w:hAnsi="Calibri"/>
          <w:b w:val="0"/>
          <w:i w:val="0"/>
          <w:color w:val="222222"/>
          <w:sz w:val="20"/>
        </w:rPr>
        <w:t>Recognised as a preferred partner for government, universities, insurers, and development agencies</w:t>
      </w:r>
    </w:p>
    <w:p>
      <w:pPr>
        <w:pStyle w:val="ListBullet"/>
        <w:spacing w:after="20"/>
      </w:pPr>
      <w:r>
        <w:rPr>
          <w:rFonts w:ascii="Calibri" w:hAnsi="Calibri"/>
          <w:b w:val="0"/>
          <w:i w:val="0"/>
          <w:color w:val="222222"/>
          <w:sz w:val="20"/>
        </w:rPr>
        <w:t>Financially sustainable, with measurable social impact</w:t>
      </w:r>
    </w:p>
    <w:p>
      <w:pPr>
        <w:spacing w:before="240" w:after="100"/>
      </w:pPr>
      <w:r>
        <w:rPr>
          <w:rFonts w:ascii="Calibri" w:hAnsi="Calibri"/>
          <w:b/>
          <w:i w:val="0"/>
          <w:color w:val="1A3A5C"/>
          <w:sz w:val="26"/>
        </w:rPr>
        <w:t>42. Closing rule</w:t>
      </w:r>
    </w:p>
    <w:p>
      <w:pPr>
        <w:spacing w:after="120" w:before="80" w:line="259" w:lineRule="auto"/>
        <w:jc w:val="center"/>
      </w:pPr>
      <w:r>
        <w:rPr>
          <w:rFonts w:ascii="Calibri" w:hAnsi="Calibri"/>
          <w:b w:val="0"/>
          <w:i/>
          <w:color w:val="222222"/>
          <w:sz w:val="22"/>
        </w:rPr>
        <w:t>Don't reinvent the strategy. Don't rush the transformation. Don't compromise the values.</w:t>
      </w:r>
    </w:p>
    <w:p>
      <w:pPr>
        <w:pStyle w:val="ListBullet"/>
        <w:spacing w:after="20"/>
      </w:pPr>
      <w:r>
        <w:rPr>
          <w:rFonts w:ascii="Calibri" w:hAnsi="Calibri"/>
          <w:b w:val="0"/>
          <w:i w:val="0"/>
          <w:color w:val="222222"/>
          <w:sz w:val="20"/>
        </w:rPr>
        <w:t>Does the Blueprint already decide this? If yes, implement — do not reopen.</w:t>
      </w:r>
    </w:p>
    <w:p>
      <w:pPr>
        <w:pStyle w:val="ListBullet"/>
        <w:spacing w:after="20"/>
      </w:pPr>
      <w:r>
        <w:rPr>
          <w:rFonts w:ascii="Calibri" w:hAnsi="Calibri"/>
          <w:b w:val="0"/>
          <w:i w:val="0"/>
          <w:color w:val="222222"/>
          <w:sz w:val="20"/>
        </w:rPr>
        <w:t>Are we ready for the next stage by capability, not by calendar? If no, hold the Gate.</w:t>
      </w:r>
    </w:p>
    <w:p>
      <w:pPr>
        <w:pStyle w:val="ListBullet"/>
        <w:spacing w:after="20"/>
      </w:pPr>
      <w:r>
        <w:rPr>
          <w:rFonts w:ascii="Calibri" w:hAnsi="Calibri"/>
          <w:b w:val="0"/>
          <w:i w:val="0"/>
          <w:color w:val="222222"/>
          <w:sz w:val="20"/>
        </w:rPr>
        <w:t>Does this action honour the Covenant and “Your Health, Our Mission”? If no, stop.</w:t>
      </w:r>
    </w:p>
    <w:p>
      <w:pPr>
        <w:spacing w:after="80" w:before="240" w:line="259" w:lineRule="auto"/>
        <w:jc w:val="center"/>
      </w:pPr>
      <w:r>
        <w:rPr>
          <w:rFonts w:ascii="Calibri" w:hAnsi="Calibri"/>
          <w:b w:val="0"/>
          <w:i/>
          <w:color w:val="222222"/>
          <w:sz w:val="18"/>
        </w:rPr>
        <w:t>End of FairBanks Institutional Transformation Handbook v1.0.1 — MASTER FREEZE</w:t>
      </w:r>
    </w:p>
    <w:p>
      <w:pPr>
        <w:spacing w:after="80" w:before="0" w:line="259" w:lineRule="auto"/>
        <w:jc w:val="center"/>
      </w:pPr>
      <w:r>
        <w:rPr>
          <w:rFonts w:ascii="Calibri" w:hAnsi="Calibri"/>
          <w:b w:val="0"/>
          <w:i/>
          <w:color w:val="222222"/>
          <w:sz w:val="18"/>
        </w:rPr>
        <w:t>Companion: FairBanks Management Toolkit v1.0.0 · Parent: Blueprint v1.0.1</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