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before="0" w:line="276" w:lineRule="auto"/>
        <w:jc w:val="center"/>
      </w:pPr>
      <w:r>
        <w:rPr>
          <w:rFonts w:ascii="Calibri" w:hAnsi="Calibri"/>
          <w:b/>
          <w:i w:val="0"/>
          <w:color w:val="222222"/>
          <w:sz w:val="22"/>
        </w:rPr>
        <w:t>PUBLICATION INFORMATION</w:t>
      </w:r>
    </w:p>
    <w:p>
      <w:pPr>
        <w:spacing w:after="280" w:before="0" w:line="276" w:lineRule="auto"/>
        <w:jc w:val="center"/>
      </w:pPr>
      <w:r>
        <w:rPr>
          <w:rFonts w:ascii="Calibri" w:hAnsi="Calibri"/>
          <w:b w:val="0"/>
          <w:i/>
          <w:color w:val="222222"/>
          <w:sz w:val="18"/>
        </w:rPr>
        <w:t>Document control: Handbook Version 1.0.0 — derived from Blueprint Master Freeze v1.0.1 (.cursor/source-of-truth). Operational companion; not a rewrite of the Blueprint.</w:t>
      </w:r>
    </w:p>
    <w:p>
      <w:pPr>
        <w:spacing w:after="80" w:before="0" w:line="276" w:lineRule="auto"/>
        <w:jc w:val="center"/>
      </w:pPr>
      <w:r>
        <w:rPr>
          <w:rFonts w:ascii="Calibri" w:hAnsi="Calibri"/>
          <w:b/>
          <w:i w:val="0"/>
          <w:color w:val="1A3A5C"/>
          <w:sz w:val="44"/>
        </w:rPr>
        <w:t>THE FAIRBANKS HANDBOOK</w:t>
      </w:r>
    </w:p>
    <w:p>
      <w:pPr>
        <w:spacing w:after="160" w:before="0" w:line="276" w:lineRule="auto"/>
        <w:jc w:val="center"/>
      </w:pPr>
      <w:r>
        <w:rPr>
          <w:rFonts w:ascii="Calibri" w:hAnsi="Calibri"/>
          <w:b w:val="0"/>
          <w:i/>
          <w:color w:val="222222"/>
          <w:sz w:val="28"/>
        </w:rPr>
        <w:t>Institutional Transformation Handbook</w:t>
      </w:r>
    </w:p>
    <w:p>
      <w:pPr>
        <w:spacing w:after="80" w:before="0" w:line="276" w:lineRule="auto"/>
        <w:jc w:val="center"/>
      </w:pPr>
      <w:r>
        <w:rPr>
          <w:rFonts w:ascii="Calibri" w:hAnsi="Calibri"/>
          <w:b/>
          <w:i w:val="0"/>
          <w:color w:val="1A3A5C"/>
          <w:sz w:val="24"/>
        </w:rPr>
        <w:t>Version 1.0.0</w:t>
      </w:r>
    </w:p>
    <w:p>
      <w:pPr>
        <w:spacing w:after="80" w:before="0" w:line="276" w:lineRule="auto"/>
        <w:jc w:val="center"/>
      </w:pPr>
      <w:r>
        <w:rPr>
          <w:rFonts w:ascii="Calibri" w:hAnsi="Calibri"/>
          <w:b w:val="0"/>
          <w:i/>
          <w:color w:val="222222"/>
          <w:sz w:val="20"/>
        </w:rPr>
        <w:t>Parent: The FairBanks Blueprint — Volume I: Vision, Founding Edition Version 1.0.1 (Master Freeze)</w:t>
      </w:r>
    </w:p>
    <w:p>
      <w:pPr>
        <w:spacing w:after="200" w:before="0" w:line="276" w:lineRule="auto"/>
        <w:jc w:val="center"/>
      </w:pPr>
      <w:r>
        <w:rPr>
          <w:rFonts w:ascii="Calibri" w:hAnsi="Calibri"/>
          <w:b w:val="0"/>
          <w:i w:val="0"/>
          <w:color w:val="222222"/>
          <w:sz w:val="22"/>
        </w:rPr>
        <w:t>2027–2032 Strategic Horizon</w:t>
      </w:r>
    </w:p>
    <w:p>
      <w:pPr>
        <w:spacing w:after="320" w:before="0" w:line="276" w:lineRule="auto"/>
        <w:jc w:val="center"/>
      </w:pPr>
      <w:r>
        <w:rPr>
          <w:rFonts w:ascii="Calibri" w:hAnsi="Calibri"/>
          <w:b w:val="0"/>
          <w:i/>
          <w:color w:val="222222"/>
          <w:sz w:val="24"/>
        </w:rPr>
        <w:t>Your Health, Our Mission.</w:t>
      </w:r>
    </w:p>
    <w:p>
      <w:pPr>
        <w:spacing w:before="240" w:after="120"/>
      </w:pPr>
      <w:r>
        <w:rPr>
          <w:rFonts w:ascii="Calibri" w:hAnsi="Calibri"/>
          <w:b/>
          <w:i w:val="0"/>
          <w:color w:val="1A3A5C"/>
          <w:sz w:val="26"/>
        </w:rPr>
        <w:t>Published by</w:t>
      </w:r>
    </w:p>
    <w:p>
      <w:pPr>
        <w:spacing w:after="120" w:before="0" w:line="276" w:lineRule="auto"/>
        <w:jc w:val="left"/>
      </w:pPr>
      <w:r>
        <w:rPr>
          <w:rFonts w:ascii="Calibri" w:hAnsi="Calibri"/>
          <w:b w:val="0"/>
          <w:i w:val="0"/>
          <w:color w:val="222222"/>
          <w:sz w:val="22"/>
        </w:rPr>
        <w:t>FAIRBANKS MEDICAL CENTRE LIMITED</w:t>
      </w:r>
    </w:p>
    <w:p>
      <w:pPr>
        <w:spacing w:after="120" w:before="0" w:line="276" w:lineRule="auto"/>
        <w:jc w:val="left"/>
      </w:pPr>
      <w:r>
        <w:rPr>
          <w:rFonts w:ascii="Calibri" w:hAnsi="Calibri"/>
          <w:b w:val="0"/>
          <w:i w:val="0"/>
          <w:color w:val="222222"/>
          <w:sz w:val="22"/>
        </w:rPr>
        <w:t>Plot 1423 and 1425, Tirupati Road, Fairbanks Medical Centre</w:t>
      </w:r>
    </w:p>
    <w:p>
      <w:pPr>
        <w:spacing w:after="120" w:before="0" w:line="276" w:lineRule="auto"/>
        <w:jc w:val="left"/>
      </w:pPr>
      <w:r>
        <w:rPr>
          <w:rFonts w:ascii="Calibri" w:hAnsi="Calibri"/>
          <w:b w:val="0"/>
          <w:i w:val="0"/>
          <w:color w:val="222222"/>
          <w:sz w:val="22"/>
        </w:rPr>
        <w:t>Lugogo, Kololo IV, Kampala Central Division</w:t>
      </w:r>
    </w:p>
    <w:p>
      <w:pPr>
        <w:spacing w:after="120" w:before="0" w:line="276" w:lineRule="auto"/>
        <w:jc w:val="left"/>
      </w:pPr>
      <w:r>
        <w:rPr>
          <w:rFonts w:ascii="Calibri" w:hAnsi="Calibri"/>
          <w:b w:val="0"/>
          <w:i w:val="0"/>
          <w:color w:val="222222"/>
          <w:sz w:val="22"/>
        </w:rPr>
        <w:t>Kampala, Uganda</w:t>
      </w:r>
    </w:p>
    <w:p>
      <w:pPr>
        <w:spacing w:before="240" w:after="120"/>
      </w:pPr>
      <w:r>
        <w:rPr>
          <w:rFonts w:ascii="Calibri" w:hAnsi="Calibri"/>
          <w:b/>
          <w:i w:val="0"/>
          <w:color w:val="1A3A5C"/>
          <w:sz w:val="26"/>
        </w:rPr>
        <w:t>Institutional particulars (URA Notice DT-1112)</w:t>
      </w:r>
    </w:p>
    <w:p>
      <w:pPr>
        <w:pStyle w:val="ListBullet"/>
        <w:spacing w:after="60"/>
      </w:pPr>
      <w:r>
        <w:rPr>
          <w:rFonts w:ascii="Calibri" w:hAnsi="Calibri"/>
          <w:b w:val="0"/>
          <w:i w:val="0"/>
          <w:color w:val="222222"/>
          <w:sz w:val="22"/>
        </w:rPr>
        <w:t>TIN: 1053370026</w:t>
      </w:r>
    </w:p>
    <w:p>
      <w:pPr>
        <w:pStyle w:val="ListBullet"/>
        <w:spacing w:after="60"/>
      </w:pPr>
      <w:r>
        <w:rPr>
          <w:rFonts w:ascii="Calibri" w:hAnsi="Calibri"/>
          <w:b w:val="0"/>
          <w:i w:val="0"/>
          <w:color w:val="222222"/>
          <w:sz w:val="22"/>
        </w:rPr>
        <w:t>Legal / Business Name: FAIRBANKS MEDICAL CENTRE LIMITED</w:t>
      </w:r>
    </w:p>
    <w:p>
      <w:pPr>
        <w:pStyle w:val="ListBullet"/>
        <w:spacing w:after="60"/>
      </w:pPr>
      <w:r>
        <w:rPr>
          <w:rFonts w:ascii="Calibri" w:hAnsi="Calibri"/>
          <w:b w:val="0"/>
          <w:i w:val="0"/>
          <w:color w:val="222222"/>
          <w:sz w:val="22"/>
        </w:rPr>
        <w:t>Nature of Business: Human health and social work activities (ISIC Section Q)</w:t>
      </w:r>
    </w:p>
    <w:p>
      <w:pPr>
        <w:pStyle w:val="ListBullet"/>
        <w:spacing w:after="60"/>
      </w:pPr>
      <w:r>
        <w:rPr>
          <w:rFonts w:ascii="Calibri" w:hAnsi="Calibri"/>
          <w:b w:val="0"/>
          <w:i w:val="0"/>
          <w:color w:val="222222"/>
          <w:sz w:val="22"/>
        </w:rPr>
        <w:t>TIN / Income Tax registration effective: 01 May 2025</w:t>
      </w:r>
    </w:p>
    <w:p>
      <w:pPr>
        <w:pStyle w:val="ListBullet"/>
        <w:spacing w:after="60"/>
      </w:pPr>
      <w:r>
        <w:rPr>
          <w:rFonts w:ascii="Calibri" w:hAnsi="Calibri"/>
          <w:b w:val="0"/>
          <w:i w:val="0"/>
          <w:color w:val="222222"/>
          <w:sz w:val="22"/>
        </w:rPr>
        <w:t>Accounting date: 30 June</w:t>
      </w:r>
    </w:p>
    <w:p>
      <w:pPr>
        <w:pStyle w:val="ListBullet"/>
        <w:spacing w:after="60"/>
      </w:pPr>
      <w:r>
        <w:rPr>
          <w:rFonts w:ascii="Calibri" w:hAnsi="Calibri"/>
          <w:b w:val="0"/>
          <w:i w:val="0"/>
          <w:color w:val="222222"/>
          <w:sz w:val="22"/>
        </w:rPr>
        <w:t>Certificate notice date: 02 July 2026</w:t>
      </w:r>
    </w:p>
    <w:p>
      <w:pPr>
        <w:pStyle w:val="ListBullet"/>
        <w:spacing w:after="60"/>
      </w:pPr>
      <w:r>
        <w:rPr>
          <w:rFonts w:ascii="Calibri" w:hAnsi="Calibri"/>
          <w:b w:val="0"/>
          <w:i w:val="0"/>
          <w:color w:val="222222"/>
          <w:sz w:val="22"/>
        </w:rPr>
        <w:t>Principal place of business: Plot 1423 and 1425, Tirupati Road, Fairbanks Medical Centre, Lugogo, Kololo IV, Kampala Central Division, Kampala, Uganda</w:t>
      </w:r>
    </w:p>
    <w:p>
      <w:pPr>
        <w:spacing w:after="120" w:before="0" w:line="276" w:lineRule="auto"/>
        <w:jc w:val="left"/>
      </w:pPr>
      <w:r>
        <w:rPr>
          <w:rFonts w:ascii="Calibri" w:hAnsi="Calibri"/>
          <w:b w:val="0"/>
          <w:i/>
          <w:color w:val="222222"/>
          <w:sz w:val="22"/>
        </w:rPr>
        <w:t>Prepared and approved in 2026 | Handbook issued for use with the 2027 Founding Edition Blueprint.</w:t>
      </w:r>
    </w:p>
    <w:p>
      <w:pPr>
        <w:pageBreakBefore/>
        <w:spacing w:after="160"/>
        <w:jc w:val="center"/>
      </w:pPr>
      <w:r>
        <w:rPr>
          <w:rFonts w:ascii="Calibri" w:hAnsi="Calibri"/>
          <w:b/>
          <w:i w:val="0"/>
          <w:color w:val="1A3A5C"/>
          <w:sz w:val="32"/>
        </w:rPr>
        <w:t>1. Purpose of this Handbook</w:t>
      </w:r>
    </w:p>
    <w:p>
      <w:pPr>
        <w:spacing w:after="120" w:before="0" w:line="276" w:lineRule="auto"/>
        <w:jc w:val="both"/>
      </w:pPr>
      <w:r>
        <w:rPr>
          <w:rFonts w:ascii="Calibri" w:hAnsi="Calibri"/>
          <w:b w:val="0"/>
          <w:i w:val="0"/>
          <w:color w:val="222222"/>
          <w:sz w:val="22"/>
        </w:rPr>
        <w:t>This Handbook is the practical operating companion to the FairBanks Blueprint. It helps leaders and teams turn vision into disciplined action through stage playbooks, Transformation Gates, checklists, and an operating rhythm.</w:t>
      </w:r>
    </w:p>
    <w:p>
      <w:pPr>
        <w:spacing w:after="120" w:before="0" w:line="276" w:lineRule="auto"/>
        <w:jc w:val="left"/>
      </w:pPr>
      <w:r>
        <w:rPr>
          <w:rFonts w:ascii="Calibri" w:hAnsi="Calibri"/>
          <w:b w:val="0"/>
          <w:i w:val="0"/>
          <w:color w:val="222222"/>
          <w:sz w:val="22"/>
        </w:rPr>
        <w:t>It is not a second Blueprint. It does not replace the Manifesto, Declaration, or Covenant.</w:t>
      </w:r>
    </w:p>
    <w:p>
      <w:pPr>
        <w:spacing w:after="120" w:before="0" w:line="276" w:lineRule="auto"/>
        <w:jc w:val="left"/>
      </w:pPr>
      <w:r>
        <w:rPr>
          <w:rFonts w:ascii="Calibri" w:hAnsi="Calibri"/>
          <w:b/>
          <w:i w:val="0"/>
          <w:color w:val="222222"/>
          <w:sz w:val="22"/>
        </w:rPr>
        <w:t>Rule: Strategy lives in the Blueprint. Execution lives in this Handbook.</w:t>
      </w:r>
    </w:p>
    <w:p>
      <w:pPr>
        <w:pageBreakBefore/>
        <w:spacing w:after="160"/>
        <w:jc w:val="center"/>
      </w:pPr>
      <w:r>
        <w:rPr>
          <w:rFonts w:ascii="Calibri" w:hAnsi="Calibri"/>
          <w:b/>
          <w:i w:val="0"/>
          <w:color w:val="1A3A5C"/>
          <w:sz w:val="32"/>
        </w:rPr>
        <w:t>2. Who should use what</w:t>
      </w:r>
    </w:p>
    <w:tbl>
      <w:tblPr>
        <w:tblStyle w:val="TableGrid"/>
        <w:tblW w:type="auto" w:w="0"/>
        <w:tblLook w:firstColumn="1" w:firstRow="1" w:lastColumn="0" w:lastRow="0" w:noHBand="0" w:noVBand="1" w:val="04A0"/>
      </w:tblPr>
      <w:tblGrid>
        <w:gridCol w:w="3120"/>
        <w:gridCol w:w="3120"/>
        <w:gridCol w:w="3120"/>
      </w:tblGrid>
      <w:tr>
        <w:tc>
          <w:tcPr>
            <w:tcW w:type="dxa" w:w="3120"/>
            <w:shd w:fill="1A3A5C" w:val="clear"/>
          </w:tcPr>
          <w:p>
            <w:r/>
            <w:r>
              <w:rPr>
                <w:rFonts w:ascii="Calibri" w:hAnsi="Calibri"/>
                <w:b/>
                <w:i w:val="0"/>
                <w:color w:val="FFFFFF"/>
                <w:sz w:val="20"/>
              </w:rPr>
              <w:t>Audience</w:t>
            </w:r>
          </w:p>
        </w:tc>
        <w:tc>
          <w:tcPr>
            <w:tcW w:type="dxa" w:w="3120"/>
            <w:shd w:fill="1A3A5C" w:val="clear"/>
          </w:tcPr>
          <w:p>
            <w:r/>
            <w:r>
              <w:rPr>
                <w:rFonts w:ascii="Calibri" w:hAnsi="Calibri"/>
                <w:b/>
                <w:i w:val="0"/>
                <w:color w:val="FFFFFF"/>
                <w:sz w:val="20"/>
              </w:rPr>
              <w:t>Use this Handbook to…</w:t>
            </w:r>
          </w:p>
        </w:tc>
        <w:tc>
          <w:tcPr>
            <w:tcW w:type="dxa" w:w="3120"/>
            <w:shd w:fill="1A3A5C" w:val="clear"/>
          </w:tcPr>
          <w:p>
            <w:r/>
            <w:r>
              <w:rPr>
                <w:rFonts w:ascii="Calibri" w:hAnsi="Calibri"/>
                <w:b/>
                <w:i w:val="0"/>
                <w:color w:val="FFFFFF"/>
                <w:sz w:val="20"/>
              </w:rPr>
              <w:t>Blueprint anchors</w:t>
            </w:r>
          </w:p>
        </w:tc>
      </w:tr>
      <w:tr>
        <w:tc>
          <w:tcPr>
            <w:tcW w:type="dxa" w:w="3120"/>
          </w:tcPr>
          <w:p>
            <w:r/>
            <w:r>
              <w:rPr>
                <w:rFonts w:ascii="Calibri" w:hAnsi="Calibri"/>
                <w:b w:val="0"/>
                <w:i w:val="0"/>
                <w:color w:val="222222"/>
                <w:sz w:val="20"/>
              </w:rPr>
              <w:t>Board</w:t>
            </w:r>
          </w:p>
        </w:tc>
        <w:tc>
          <w:tcPr>
            <w:tcW w:type="dxa" w:w="3120"/>
          </w:tcPr>
          <w:p>
            <w:r/>
            <w:r>
              <w:rPr>
                <w:rFonts w:ascii="Calibri" w:hAnsi="Calibri"/>
                <w:b w:val="0"/>
                <w:i w:val="0"/>
                <w:color w:val="222222"/>
                <w:sz w:val="20"/>
              </w:rPr>
              <w:t>Approve stage progression; review Gate evidence; oversee risk &amp; stewardship</w:t>
            </w:r>
          </w:p>
        </w:tc>
        <w:tc>
          <w:tcPr>
            <w:tcW w:type="dxa" w:w="3120"/>
          </w:tcPr>
          <w:p>
            <w:r/>
            <w:r>
              <w:rPr>
                <w:rFonts w:ascii="Calibri" w:hAnsi="Calibri"/>
                <w:b w:val="0"/>
                <w:i w:val="0"/>
                <w:color w:val="222222"/>
                <w:sz w:val="20"/>
              </w:rPr>
              <w:t>Parts IV–V; Ch 16–21</w:t>
            </w:r>
          </w:p>
        </w:tc>
      </w:tr>
      <w:tr>
        <w:tc>
          <w:tcPr>
            <w:tcW w:type="dxa" w:w="3120"/>
          </w:tcPr>
          <w:p>
            <w:r/>
            <w:r>
              <w:rPr>
                <w:rFonts w:ascii="Calibri" w:hAnsi="Calibri"/>
                <w:b w:val="0"/>
                <w:i w:val="0"/>
                <w:color w:val="222222"/>
                <w:sz w:val="20"/>
              </w:rPr>
              <w:t>Executive team</w:t>
            </w:r>
          </w:p>
        </w:tc>
        <w:tc>
          <w:tcPr>
            <w:tcW w:type="dxa" w:w="3120"/>
          </w:tcPr>
          <w:p>
            <w:r/>
            <w:r>
              <w:rPr>
                <w:rFonts w:ascii="Calibri" w:hAnsi="Calibri"/>
                <w:b w:val="0"/>
                <w:i w:val="0"/>
                <w:color w:val="222222"/>
                <w:sz w:val="20"/>
              </w:rPr>
              <w:t>Convert stages into annual plans; assign owners; track readiness</w:t>
            </w:r>
          </w:p>
        </w:tc>
        <w:tc>
          <w:tcPr>
            <w:tcW w:type="dxa" w:w="3120"/>
          </w:tcPr>
          <w:p>
            <w:r/>
            <w:r>
              <w:rPr>
                <w:rFonts w:ascii="Calibri" w:hAnsi="Calibri"/>
                <w:b w:val="0"/>
                <w:i w:val="0"/>
                <w:color w:val="222222"/>
                <w:sz w:val="20"/>
              </w:rPr>
              <w:t>Ch 10–17</w:t>
            </w:r>
          </w:p>
        </w:tc>
      </w:tr>
      <w:tr>
        <w:tc>
          <w:tcPr>
            <w:tcW w:type="dxa" w:w="3120"/>
          </w:tcPr>
          <w:p>
            <w:r/>
            <w:r>
              <w:rPr>
                <w:rFonts w:ascii="Calibri" w:hAnsi="Calibri"/>
                <w:b w:val="0"/>
                <w:i w:val="0"/>
                <w:color w:val="222222"/>
                <w:sz w:val="20"/>
              </w:rPr>
              <w:t>Clinical leaders</w:t>
            </w:r>
          </w:p>
        </w:tc>
        <w:tc>
          <w:tcPr>
            <w:tcW w:type="dxa" w:w="3120"/>
          </w:tcPr>
          <w:p>
            <w:r/>
            <w:r>
              <w:rPr>
                <w:rFonts w:ascii="Calibri" w:hAnsi="Calibri"/>
                <w:b w:val="0"/>
                <w:i w:val="0"/>
                <w:color w:val="222222"/>
                <w:sz w:val="20"/>
              </w:rPr>
              <w:t>Align quality and FIHE pathways with stage priorities</w:t>
            </w:r>
          </w:p>
        </w:tc>
        <w:tc>
          <w:tcPr>
            <w:tcW w:type="dxa" w:w="3120"/>
          </w:tcPr>
          <w:p>
            <w:r/>
            <w:r>
              <w:rPr>
                <w:rFonts w:ascii="Calibri" w:hAnsi="Calibri"/>
                <w:b w:val="0"/>
                <w:i w:val="0"/>
                <w:color w:val="222222"/>
                <w:sz w:val="20"/>
              </w:rPr>
              <w:t>Ch 4–5, 8, 11</w:t>
            </w:r>
          </w:p>
        </w:tc>
      </w:tr>
      <w:tr>
        <w:tc>
          <w:tcPr>
            <w:tcW w:type="dxa" w:w="3120"/>
          </w:tcPr>
          <w:p>
            <w:r/>
            <w:r>
              <w:rPr>
                <w:rFonts w:ascii="Calibri" w:hAnsi="Calibri"/>
                <w:b w:val="0"/>
                <w:i w:val="0"/>
                <w:color w:val="222222"/>
                <w:sz w:val="20"/>
              </w:rPr>
              <w:t>Programme teams</w:t>
            </w:r>
          </w:p>
        </w:tc>
        <w:tc>
          <w:tcPr>
            <w:tcW w:type="dxa" w:w="3120"/>
          </w:tcPr>
          <w:p>
            <w:r/>
            <w:r>
              <w:rPr>
                <w:rFonts w:ascii="Calibri" w:hAnsi="Calibri"/>
                <w:b w:val="0"/>
                <w:i w:val="0"/>
                <w:color w:val="222222"/>
                <w:sz w:val="20"/>
              </w:rPr>
              <w:t>Run outreach, CHIP pilots, partnerships, feedback loops</w:t>
            </w:r>
          </w:p>
        </w:tc>
        <w:tc>
          <w:tcPr>
            <w:tcW w:type="dxa" w:w="3120"/>
          </w:tcPr>
          <w:p>
            <w:r/>
            <w:r>
              <w:rPr>
                <w:rFonts w:ascii="Calibri" w:hAnsi="Calibri"/>
                <w:b w:val="0"/>
                <w:i w:val="0"/>
                <w:color w:val="222222"/>
                <w:sz w:val="20"/>
              </w:rPr>
              <w:t>Ch 5, 8, 9, 13</w:t>
            </w:r>
          </w:p>
        </w:tc>
      </w:tr>
      <w:tr>
        <w:tc>
          <w:tcPr>
            <w:tcW w:type="dxa" w:w="3120"/>
          </w:tcPr>
          <w:p>
            <w:r/>
            <w:r>
              <w:rPr>
                <w:rFonts w:ascii="Calibri" w:hAnsi="Calibri"/>
                <w:b w:val="0"/>
                <w:i w:val="0"/>
                <w:color w:val="222222"/>
                <w:sz w:val="20"/>
              </w:rPr>
              <w:t>Finance &amp; operations</w:t>
            </w:r>
          </w:p>
        </w:tc>
        <w:tc>
          <w:tcPr>
            <w:tcW w:type="dxa" w:w="3120"/>
          </w:tcPr>
          <w:p>
            <w:r/>
            <w:r>
              <w:rPr>
                <w:rFonts w:ascii="Calibri" w:hAnsi="Calibri"/>
                <w:b w:val="0"/>
                <w:i w:val="0"/>
                <w:color w:val="222222"/>
                <w:sz w:val="20"/>
              </w:rPr>
              <w:t>Apply financing and sustainability tools</w:t>
            </w:r>
          </w:p>
        </w:tc>
        <w:tc>
          <w:tcPr>
            <w:tcW w:type="dxa" w:w="3120"/>
          </w:tcPr>
          <w:p>
            <w:r/>
            <w:r>
              <w:rPr>
                <w:rFonts w:ascii="Calibri" w:hAnsi="Calibri"/>
                <w:b w:val="0"/>
                <w:i w:val="0"/>
                <w:color w:val="222222"/>
                <w:sz w:val="20"/>
              </w:rPr>
              <w:t>Ch 12, 17</w:t>
            </w:r>
          </w:p>
        </w:tc>
      </w:tr>
      <w:tr>
        <w:tc>
          <w:tcPr>
            <w:tcW w:type="dxa" w:w="3120"/>
          </w:tcPr>
          <w:p>
            <w:r/>
            <w:r>
              <w:rPr>
                <w:rFonts w:ascii="Calibri" w:hAnsi="Calibri"/>
                <w:b w:val="0"/>
                <w:i w:val="0"/>
                <w:color w:val="222222"/>
                <w:sz w:val="20"/>
              </w:rPr>
              <w:t>MEL / quality</w:t>
            </w:r>
          </w:p>
        </w:tc>
        <w:tc>
          <w:tcPr>
            <w:tcW w:type="dxa" w:w="3120"/>
          </w:tcPr>
          <w:p>
            <w:r/>
            <w:r>
              <w:rPr>
                <w:rFonts w:ascii="Calibri" w:hAnsi="Calibri"/>
                <w:b w:val="0"/>
                <w:i w:val="0"/>
                <w:color w:val="222222"/>
                <w:sz w:val="20"/>
              </w:rPr>
              <w:t>Operate dashboards, maturity checks, learning loops</w:t>
            </w:r>
          </w:p>
        </w:tc>
        <w:tc>
          <w:tcPr>
            <w:tcW w:type="dxa" w:w="3120"/>
          </w:tcPr>
          <w:p>
            <w:r/>
            <w:r>
              <w:rPr>
                <w:rFonts w:ascii="Calibri" w:hAnsi="Calibri"/>
                <w:b w:val="0"/>
                <w:i w:val="0"/>
                <w:color w:val="222222"/>
                <w:sz w:val="20"/>
              </w:rPr>
              <w:t>Ch 7, 15</w:t>
            </w:r>
          </w:p>
        </w:tc>
      </w:tr>
    </w:tbl>
    <w:p/>
    <w:p>
      <w:pPr>
        <w:pageBreakBefore/>
        <w:spacing w:after="160"/>
        <w:jc w:val="center"/>
      </w:pPr>
      <w:r>
        <w:rPr>
          <w:rFonts w:ascii="Calibri" w:hAnsi="Calibri"/>
          <w:b/>
          <w:i w:val="0"/>
          <w:color w:val="1A3A5C"/>
          <w:sz w:val="32"/>
        </w:rPr>
        <w:t>3. Institutional identity at a glance</w:t>
      </w:r>
    </w:p>
    <w:p>
      <w:pPr>
        <w:pStyle w:val="ListBullet"/>
        <w:spacing w:after="60"/>
      </w:pPr>
      <w:r>
        <w:rPr>
          <w:rFonts w:ascii="Calibri" w:hAnsi="Calibri"/>
          <w:b w:val="0"/>
          <w:i w:val="0"/>
          <w:color w:val="222222"/>
          <w:sz w:val="22"/>
        </w:rPr>
        <w:t>Legal name: FAIRBANKS MEDICAL CENTRE LIMITED</w:t>
      </w:r>
    </w:p>
    <w:p>
      <w:pPr>
        <w:pStyle w:val="ListBullet"/>
        <w:spacing w:after="60"/>
      </w:pPr>
      <w:r>
        <w:rPr>
          <w:rFonts w:ascii="Calibri" w:hAnsi="Calibri"/>
          <w:b w:val="0"/>
          <w:i w:val="0"/>
          <w:color w:val="222222"/>
          <w:sz w:val="22"/>
        </w:rPr>
        <w:t>Identity: Family &amp; Community Health Social Enterprise</w:t>
      </w:r>
    </w:p>
    <w:p>
      <w:pPr>
        <w:pStyle w:val="ListBullet"/>
        <w:spacing w:after="60"/>
      </w:pPr>
      <w:r>
        <w:rPr>
          <w:rFonts w:ascii="Calibri" w:hAnsi="Calibri"/>
          <w:b w:val="0"/>
          <w:i w:val="0"/>
          <w:color w:val="222222"/>
          <w:sz w:val="22"/>
        </w:rPr>
        <w:t>Horizon: 2027–2032</w:t>
      </w:r>
    </w:p>
    <w:p>
      <w:pPr>
        <w:pStyle w:val="ListBullet"/>
        <w:spacing w:after="60"/>
      </w:pPr>
      <w:r>
        <w:rPr>
          <w:rFonts w:ascii="Calibri" w:hAnsi="Calibri"/>
          <w:b w:val="0"/>
          <w:i w:val="0"/>
          <w:color w:val="222222"/>
          <w:sz w:val="22"/>
        </w:rPr>
        <w:t>Goal: From private medical centre to national healthcare transformation leader</w:t>
      </w:r>
    </w:p>
    <w:p>
      <w:pPr>
        <w:pStyle w:val="ListBullet"/>
        <w:spacing w:after="60"/>
      </w:pPr>
      <w:r>
        <w:rPr>
          <w:rFonts w:ascii="Calibri" w:hAnsi="Calibri"/>
          <w:b w:val="0"/>
          <w:i w:val="0"/>
          <w:color w:val="222222"/>
          <w:sz w:val="22"/>
        </w:rPr>
        <w:t>Philosophy: Healthcare begins with individuals, grows through families, and flourishes within healthy communities.</w:t>
      </w:r>
    </w:p>
    <w:p>
      <w:pPr>
        <w:spacing w:before="240" w:after="120"/>
      </w:pPr>
      <w:r>
        <w:rPr>
          <w:rFonts w:ascii="Calibri" w:hAnsi="Calibri"/>
          <w:b/>
          <w:i w:val="0"/>
          <w:color w:val="1A3A5C"/>
          <w:sz w:val="26"/>
        </w:rPr>
        <w:t>Seven strategic priorities</w:t>
      </w:r>
    </w:p>
    <w:p>
      <w:pPr>
        <w:pStyle w:val="ListBullet"/>
        <w:spacing w:after="60"/>
      </w:pPr>
      <w:r>
        <w:rPr>
          <w:rFonts w:ascii="Calibri" w:hAnsi="Calibri"/>
          <w:b w:val="0"/>
          <w:i w:val="0"/>
          <w:color w:val="222222"/>
          <w:sz w:val="22"/>
        </w:rPr>
        <w:t>Delivering Clinical Excellence</w:t>
      </w:r>
    </w:p>
    <w:p>
      <w:pPr>
        <w:pStyle w:val="ListBullet"/>
        <w:spacing w:after="60"/>
      </w:pPr>
      <w:r>
        <w:rPr>
          <w:rFonts w:ascii="Calibri" w:hAnsi="Calibri"/>
          <w:b w:val="0"/>
          <w:i w:val="0"/>
          <w:color w:val="222222"/>
          <w:sz w:val="22"/>
        </w:rPr>
        <w:t>Strengthening Family &amp; Community Health</w:t>
      </w:r>
    </w:p>
    <w:p>
      <w:pPr>
        <w:pStyle w:val="ListBullet"/>
        <w:spacing w:after="60"/>
      </w:pPr>
      <w:r>
        <w:rPr>
          <w:rFonts w:ascii="Calibri" w:hAnsi="Calibri"/>
          <w:b w:val="0"/>
          <w:i w:val="0"/>
          <w:color w:val="222222"/>
          <w:sz w:val="22"/>
        </w:rPr>
        <w:t>Accelerating Digital Transformation</w:t>
      </w:r>
    </w:p>
    <w:p>
      <w:pPr>
        <w:pStyle w:val="ListBullet"/>
        <w:spacing w:after="60"/>
      </w:pPr>
      <w:r>
        <w:rPr>
          <w:rFonts w:ascii="Calibri" w:hAnsi="Calibri"/>
          <w:b w:val="0"/>
          <w:i w:val="0"/>
          <w:color w:val="222222"/>
          <w:sz w:val="22"/>
        </w:rPr>
        <w:t>Advancing Research &amp; Innovation</w:t>
      </w:r>
    </w:p>
    <w:p>
      <w:pPr>
        <w:pStyle w:val="ListBullet"/>
        <w:spacing w:after="60"/>
      </w:pPr>
      <w:r>
        <w:rPr>
          <w:rFonts w:ascii="Calibri" w:hAnsi="Calibri"/>
          <w:b w:val="0"/>
          <w:i w:val="0"/>
          <w:color w:val="222222"/>
          <w:sz w:val="22"/>
        </w:rPr>
        <w:t>Building Strategic Partnerships</w:t>
      </w:r>
    </w:p>
    <w:p>
      <w:pPr>
        <w:pStyle w:val="ListBullet"/>
        <w:spacing w:after="60"/>
      </w:pPr>
      <w:r>
        <w:rPr>
          <w:rFonts w:ascii="Calibri" w:hAnsi="Calibri"/>
          <w:b w:val="0"/>
          <w:i w:val="0"/>
          <w:color w:val="222222"/>
          <w:sz w:val="22"/>
        </w:rPr>
        <w:t>Promoting Sustainable Healthcare Financing</w:t>
      </w:r>
    </w:p>
    <w:p>
      <w:pPr>
        <w:pStyle w:val="ListBullet"/>
        <w:spacing w:after="60"/>
      </w:pPr>
      <w:r>
        <w:rPr>
          <w:rFonts w:ascii="Calibri" w:hAnsi="Calibri"/>
          <w:b w:val="0"/>
          <w:i w:val="0"/>
          <w:color w:val="222222"/>
          <w:sz w:val="22"/>
        </w:rPr>
        <w:t>Achieving Institutional Excellence</w:t>
      </w:r>
    </w:p>
    <w:p>
      <w:pPr>
        <w:spacing w:before="240" w:after="120"/>
      </w:pPr>
      <w:r>
        <w:rPr>
          <w:rFonts w:ascii="Calibri" w:hAnsi="Calibri"/>
          <w:b/>
          <w:i w:val="0"/>
          <w:color w:val="1A3A5C"/>
          <w:sz w:val="26"/>
        </w:rPr>
        <w:t>Six core frameworks</w:t>
      </w:r>
    </w:p>
    <w:p>
      <w:pPr>
        <w:pStyle w:val="ListBullet"/>
        <w:spacing w:after="60"/>
      </w:pPr>
      <w:r>
        <w:rPr>
          <w:rFonts w:ascii="Calibri" w:hAnsi="Calibri"/>
          <w:b w:val="0"/>
          <w:i w:val="0"/>
          <w:color w:val="222222"/>
          <w:sz w:val="22"/>
        </w:rPr>
        <w:t>FIHE — FairBanks Integrated Health Ecosystem</w:t>
      </w:r>
    </w:p>
    <w:p>
      <w:pPr>
        <w:pStyle w:val="ListBullet"/>
        <w:spacing w:after="60"/>
      </w:pPr>
      <w:r>
        <w:rPr>
          <w:rFonts w:ascii="Calibri" w:hAnsi="Calibri"/>
          <w:b w:val="0"/>
          <w:i w:val="0"/>
          <w:color w:val="222222"/>
          <w:sz w:val="22"/>
        </w:rPr>
        <w:t>FITF — FairBanks Institutional Transformation Framework</w:t>
      </w:r>
    </w:p>
    <w:p>
      <w:pPr>
        <w:pStyle w:val="ListBullet"/>
        <w:spacing w:after="60"/>
      </w:pPr>
      <w:r>
        <w:rPr>
          <w:rFonts w:ascii="Calibri" w:hAnsi="Calibri"/>
          <w:b w:val="0"/>
          <w:i w:val="0"/>
          <w:color w:val="222222"/>
          <w:sz w:val="22"/>
        </w:rPr>
        <w:t>F7TM — FairBanks 7×7 Transformation Matrix</w:t>
      </w:r>
    </w:p>
    <w:p>
      <w:pPr>
        <w:pStyle w:val="ListBullet"/>
        <w:spacing w:after="60"/>
      </w:pPr>
      <w:r>
        <w:rPr>
          <w:rFonts w:ascii="Calibri" w:hAnsi="Calibri"/>
          <w:b w:val="0"/>
          <w:i w:val="0"/>
          <w:color w:val="222222"/>
          <w:sz w:val="22"/>
        </w:rPr>
        <w:t>FMM — FairBanks Maturity Model</w:t>
      </w:r>
    </w:p>
    <w:p>
      <w:pPr>
        <w:pStyle w:val="ListBullet"/>
        <w:spacing w:after="60"/>
      </w:pPr>
      <w:r>
        <w:rPr>
          <w:rFonts w:ascii="Calibri" w:hAnsi="Calibri"/>
          <w:b w:val="0"/>
          <w:i w:val="0"/>
          <w:color w:val="222222"/>
          <w:sz w:val="22"/>
        </w:rPr>
        <w:t>FCHIP — FairBanks Community Health Intelligence Platform</w:t>
      </w:r>
    </w:p>
    <w:p>
      <w:pPr>
        <w:pStyle w:val="ListBullet"/>
        <w:spacing w:after="60"/>
      </w:pPr>
      <w:r>
        <w:rPr>
          <w:rFonts w:ascii="Calibri" w:hAnsi="Calibri"/>
          <w:b w:val="0"/>
          <w:i w:val="0"/>
          <w:color w:val="222222"/>
          <w:sz w:val="22"/>
        </w:rPr>
        <w:t>CHIP — Community Health Insurance Programme</w:t>
      </w:r>
    </w:p>
    <w:p>
      <w:pPr>
        <w:spacing w:after="120" w:before="0" w:line="276" w:lineRule="auto"/>
        <w:jc w:val="left"/>
      </w:pPr>
      <w:r>
        <w:rPr>
          <w:rFonts w:ascii="Calibri" w:hAnsi="Calibri"/>
          <w:b w:val="0"/>
          <w:i w:val="0"/>
          <w:color w:val="222222"/>
          <w:sz w:val="22"/>
        </w:rPr>
        <w:t>Supporting instruments sit under these six and integrate through FIMS (FairBanks Institutional Management System).</w:t>
      </w:r>
    </w:p>
    <w:p>
      <w:pPr>
        <w:spacing w:before="240" w:after="120"/>
      </w:pPr>
      <w:r>
        <w:rPr>
          <w:rFonts w:ascii="Calibri" w:hAnsi="Calibri"/>
          <w:b/>
          <w:i w:val="0"/>
          <w:color w:val="1A3A5C"/>
          <w:sz w:val="26"/>
        </w:rPr>
        <w:t>Architecture hierarchy (locked)</w:t>
      </w:r>
    </w:p>
    <w:p>
      <w:pPr>
        <w:spacing w:after="120" w:before="0" w:line="276" w:lineRule="auto"/>
        <w:jc w:val="left"/>
      </w:pPr>
      <w:r>
        <w:rPr>
          <w:rFonts w:ascii="Calibri" w:hAnsi="Calibri"/>
          <w:b w:val="0"/>
          <w:i w:val="0"/>
          <w:color w:val="222222"/>
          <w:sz w:val="22"/>
        </w:rPr>
        <w:t>Purpose → Vision/Mission → Seven Strategic Priorities → Six Core Frameworks → Supporting Instruments → FIMS → Five-Stage Transformation Roadmap → Governance/Financing/Partnerships/MEL/Risk/Investment → Manifesto/Declaration/Covenant</w:t>
      </w:r>
    </w:p>
    <w:p>
      <w:pPr>
        <w:pageBreakBefore/>
        <w:spacing w:after="160"/>
        <w:jc w:val="center"/>
      </w:pPr>
      <w:r>
        <w:rPr>
          <w:rFonts w:ascii="Calibri" w:hAnsi="Calibri"/>
          <w:b/>
          <w:i w:val="0"/>
          <w:color w:val="1A3A5C"/>
          <w:sz w:val="32"/>
        </w:rPr>
        <w:t>4. Five-stage operating guide</w:t>
      </w:r>
    </w:p>
    <w:p>
      <w:pPr>
        <w:spacing w:after="200" w:before="80" w:line="276" w:lineRule="auto"/>
        <w:jc w:val="center"/>
      </w:pPr>
      <w:r>
        <w:rPr>
          <w:rFonts w:ascii="Calibri" w:hAnsi="Calibri"/>
          <w:b w:val="0"/>
          <w:i/>
          <w:color w:val="222222"/>
          <w:sz w:val="22"/>
        </w:rPr>
        <w:t>The roadmap is time-bound, but transformation is capability-driven.</w:t>
      </w:r>
    </w:p>
    <w:tbl>
      <w:tblPr>
        <w:tblStyle w:val="TableGrid"/>
        <w:tblW w:type="auto" w:w="0"/>
        <w:tblLook w:firstColumn="1" w:firstRow="1" w:lastColumn="0" w:lastRow="0" w:noHBand="0" w:noVBand="1" w:val="04A0"/>
      </w:tblPr>
      <w:tblGrid>
        <w:gridCol w:w="3120"/>
        <w:gridCol w:w="3120"/>
        <w:gridCol w:w="3120"/>
      </w:tblGrid>
      <w:tr>
        <w:tc>
          <w:tcPr>
            <w:tcW w:type="dxa" w:w="3120"/>
            <w:shd w:fill="1A3A5C" w:val="clear"/>
          </w:tcPr>
          <w:p>
            <w:r/>
            <w:r>
              <w:rPr>
                <w:rFonts w:ascii="Calibri" w:hAnsi="Calibri"/>
                <w:b/>
                <w:i w:val="0"/>
                <w:color w:val="FFFFFF"/>
                <w:sz w:val="20"/>
              </w:rPr>
              <w:t>Period</w:t>
            </w:r>
          </w:p>
        </w:tc>
        <w:tc>
          <w:tcPr>
            <w:tcW w:type="dxa" w:w="3120"/>
            <w:shd w:fill="1A3A5C" w:val="clear"/>
          </w:tcPr>
          <w:p>
            <w:r/>
            <w:r>
              <w:rPr>
                <w:rFonts w:ascii="Calibri" w:hAnsi="Calibri"/>
                <w:b/>
                <w:i w:val="0"/>
                <w:color w:val="FFFFFF"/>
                <w:sz w:val="20"/>
              </w:rPr>
              <w:t>Stage</w:t>
            </w:r>
          </w:p>
        </w:tc>
        <w:tc>
          <w:tcPr>
            <w:tcW w:type="dxa" w:w="3120"/>
            <w:shd w:fill="1A3A5C" w:val="clear"/>
          </w:tcPr>
          <w:p>
            <w:r/>
            <w:r>
              <w:rPr>
                <w:rFonts w:ascii="Calibri" w:hAnsi="Calibri"/>
                <w:b/>
                <w:i w:val="0"/>
                <w:color w:val="FFFFFF"/>
                <w:sz w:val="20"/>
              </w:rPr>
              <w:t>Emphasis</w:t>
            </w:r>
          </w:p>
        </w:tc>
      </w:tr>
      <w:tr>
        <w:tc>
          <w:tcPr>
            <w:tcW w:type="dxa" w:w="3120"/>
          </w:tcPr>
          <w:p>
            <w:r/>
            <w:r>
              <w:rPr>
                <w:rFonts w:ascii="Calibri" w:hAnsi="Calibri"/>
                <w:b w:val="0"/>
                <w:i w:val="0"/>
                <w:color w:val="222222"/>
                <w:sz w:val="20"/>
              </w:rPr>
              <w:t>2027</w:t>
            </w:r>
          </w:p>
        </w:tc>
        <w:tc>
          <w:tcPr>
            <w:tcW w:type="dxa" w:w="3120"/>
          </w:tcPr>
          <w:p>
            <w:r/>
            <w:r>
              <w:rPr>
                <w:rFonts w:ascii="Calibri" w:hAnsi="Calibri"/>
                <w:b w:val="0"/>
                <w:i w:val="0"/>
                <w:color w:val="222222"/>
                <w:sz w:val="20"/>
              </w:rPr>
              <w:t>Foundation</w:t>
            </w:r>
          </w:p>
        </w:tc>
        <w:tc>
          <w:tcPr>
            <w:tcW w:type="dxa" w:w="3120"/>
          </w:tcPr>
          <w:p>
            <w:r/>
            <w:r>
              <w:rPr>
                <w:rFonts w:ascii="Calibri" w:hAnsi="Calibri"/>
                <w:b w:val="0"/>
                <w:i w:val="0"/>
                <w:color w:val="222222"/>
                <w:sz w:val="20"/>
              </w:rPr>
              <w:t>Build the institution before scaling it</w:t>
            </w:r>
          </w:p>
        </w:tc>
      </w:tr>
      <w:tr>
        <w:tc>
          <w:tcPr>
            <w:tcW w:type="dxa" w:w="3120"/>
          </w:tcPr>
          <w:p>
            <w:r/>
            <w:r>
              <w:rPr>
                <w:rFonts w:ascii="Calibri" w:hAnsi="Calibri"/>
                <w:b w:val="0"/>
                <w:i w:val="0"/>
                <w:color w:val="222222"/>
                <w:sz w:val="20"/>
              </w:rPr>
              <w:t>2028</w:t>
            </w:r>
          </w:p>
        </w:tc>
        <w:tc>
          <w:tcPr>
            <w:tcW w:type="dxa" w:w="3120"/>
          </w:tcPr>
          <w:p>
            <w:r/>
            <w:r>
              <w:rPr>
                <w:rFonts w:ascii="Calibri" w:hAnsi="Calibri"/>
                <w:b w:val="0"/>
                <w:i w:val="0"/>
                <w:color w:val="222222"/>
                <w:sz w:val="20"/>
              </w:rPr>
              <w:t>Integration</w:t>
            </w:r>
          </w:p>
        </w:tc>
        <w:tc>
          <w:tcPr>
            <w:tcW w:type="dxa" w:w="3120"/>
          </w:tcPr>
          <w:p>
            <w:r/>
            <w:r>
              <w:rPr>
                <w:rFonts w:ascii="Calibri" w:hAnsi="Calibri"/>
                <w:b w:val="0"/>
                <w:i w:val="0"/>
                <w:color w:val="222222"/>
                <w:sz w:val="20"/>
              </w:rPr>
              <w:t>Integrate services, systems, and pathways</w:t>
            </w:r>
          </w:p>
        </w:tc>
      </w:tr>
      <w:tr>
        <w:tc>
          <w:tcPr>
            <w:tcW w:type="dxa" w:w="3120"/>
          </w:tcPr>
          <w:p>
            <w:r/>
            <w:r>
              <w:rPr>
                <w:rFonts w:ascii="Calibri" w:hAnsi="Calibri"/>
                <w:b w:val="0"/>
                <w:i w:val="0"/>
                <w:color w:val="222222"/>
                <w:sz w:val="20"/>
              </w:rPr>
              <w:t>2029</w:t>
            </w:r>
          </w:p>
        </w:tc>
        <w:tc>
          <w:tcPr>
            <w:tcW w:type="dxa" w:w="3120"/>
          </w:tcPr>
          <w:p>
            <w:r/>
            <w:r>
              <w:rPr>
                <w:rFonts w:ascii="Calibri" w:hAnsi="Calibri"/>
                <w:b w:val="0"/>
                <w:i w:val="0"/>
                <w:color w:val="222222"/>
                <w:sz w:val="20"/>
              </w:rPr>
              <w:t>Innovation</w:t>
            </w:r>
          </w:p>
        </w:tc>
        <w:tc>
          <w:tcPr>
            <w:tcW w:type="dxa" w:w="3120"/>
          </w:tcPr>
          <w:p>
            <w:r/>
            <w:r>
              <w:rPr>
                <w:rFonts w:ascii="Calibri" w:hAnsi="Calibri"/>
                <w:b w:val="0"/>
                <w:i w:val="0"/>
                <w:color w:val="222222"/>
                <w:sz w:val="20"/>
              </w:rPr>
              <w:t>Strengthen learning and digital intelligence</w:t>
            </w:r>
          </w:p>
        </w:tc>
      </w:tr>
      <w:tr>
        <w:tc>
          <w:tcPr>
            <w:tcW w:type="dxa" w:w="3120"/>
          </w:tcPr>
          <w:p>
            <w:r/>
            <w:r>
              <w:rPr>
                <w:rFonts w:ascii="Calibri" w:hAnsi="Calibri"/>
                <w:b w:val="0"/>
                <w:i w:val="0"/>
                <w:color w:val="222222"/>
                <w:sz w:val="20"/>
              </w:rPr>
              <w:t>2030–2031</w:t>
            </w:r>
          </w:p>
        </w:tc>
        <w:tc>
          <w:tcPr>
            <w:tcW w:type="dxa" w:w="3120"/>
          </w:tcPr>
          <w:p>
            <w:r/>
            <w:r>
              <w:rPr>
                <w:rFonts w:ascii="Calibri" w:hAnsi="Calibri"/>
                <w:b w:val="0"/>
                <w:i w:val="0"/>
                <w:color w:val="222222"/>
                <w:sz w:val="20"/>
              </w:rPr>
              <w:t>Leadership</w:t>
            </w:r>
          </w:p>
        </w:tc>
        <w:tc>
          <w:tcPr>
            <w:tcW w:type="dxa" w:w="3120"/>
          </w:tcPr>
          <w:p>
            <w:r/>
            <w:r>
              <w:rPr>
                <w:rFonts w:ascii="Calibri" w:hAnsi="Calibri"/>
                <w:b w:val="0"/>
                <w:i w:val="0"/>
                <w:color w:val="222222"/>
                <w:sz w:val="20"/>
              </w:rPr>
              <w:t>Deepen influence, partnerships, and leadership capacity</w:t>
            </w:r>
          </w:p>
        </w:tc>
      </w:tr>
      <w:tr>
        <w:tc>
          <w:tcPr>
            <w:tcW w:type="dxa" w:w="3120"/>
          </w:tcPr>
          <w:p>
            <w:r/>
            <w:r>
              <w:rPr>
                <w:rFonts w:ascii="Calibri" w:hAnsi="Calibri"/>
                <w:b w:val="0"/>
                <w:i w:val="0"/>
                <w:color w:val="222222"/>
                <w:sz w:val="20"/>
              </w:rPr>
              <w:t>2032</w:t>
            </w:r>
          </w:p>
        </w:tc>
        <w:tc>
          <w:tcPr>
            <w:tcW w:type="dxa" w:w="3120"/>
          </w:tcPr>
          <w:p>
            <w:r/>
            <w:r>
              <w:rPr>
                <w:rFonts w:ascii="Calibri" w:hAnsi="Calibri"/>
                <w:b w:val="0"/>
                <w:i w:val="0"/>
                <w:color w:val="222222"/>
                <w:sz w:val="20"/>
              </w:rPr>
              <w:t>Sustainability</w:t>
            </w:r>
          </w:p>
        </w:tc>
        <w:tc>
          <w:tcPr>
            <w:tcW w:type="dxa" w:w="3120"/>
          </w:tcPr>
          <w:p>
            <w:r/>
            <w:r>
              <w:rPr>
                <w:rFonts w:ascii="Calibri" w:hAnsi="Calibri"/>
                <w:b w:val="0"/>
                <w:i w:val="0"/>
                <w:color w:val="222222"/>
                <w:sz w:val="20"/>
              </w:rPr>
              <w:t>Consolidate stewardship, resilience, and lasting impact</w:t>
            </w:r>
          </w:p>
        </w:tc>
      </w:tr>
    </w:tbl>
    <w:p/>
    <w:p>
      <w:pPr>
        <w:spacing w:after="120" w:before="0" w:line="276" w:lineRule="auto"/>
        <w:jc w:val="left"/>
      </w:pPr>
      <w:r>
        <w:rPr>
          <w:rFonts w:ascii="Calibri" w:hAnsi="Calibri"/>
          <w:b/>
          <w:i w:val="0"/>
          <w:color w:val="222222"/>
          <w:sz w:val="22"/>
        </w:rPr>
        <w:t>Keep 2030–2031 as a two-year Leadership stage. Do not compress it to force a five-year label.</w:t>
      </w:r>
    </w:p>
    <w:p>
      <w:pPr>
        <w:spacing w:before="240" w:after="120"/>
      </w:pPr>
      <w:r>
        <w:rPr>
          <w:rFonts w:ascii="Calibri" w:hAnsi="Calibri"/>
          <w:b/>
          <w:i w:val="0"/>
          <w:color w:val="1A3A5C"/>
          <w:sz w:val="26"/>
        </w:rPr>
        <w:t>Five implementation principles</w:t>
      </w:r>
    </w:p>
    <w:p>
      <w:pPr>
        <w:pStyle w:val="ListBullet"/>
        <w:spacing w:after="60"/>
      </w:pPr>
      <w:r>
        <w:rPr>
          <w:rFonts w:ascii="Calibri" w:hAnsi="Calibri"/>
          <w:b w:val="0"/>
          <w:i w:val="0"/>
          <w:color w:val="222222"/>
          <w:sz w:val="22"/>
        </w:rPr>
        <w:t>Build Strong Foundations Before Expansion</w:t>
      </w:r>
    </w:p>
    <w:p>
      <w:pPr>
        <w:pStyle w:val="ListBullet"/>
        <w:spacing w:after="60"/>
      </w:pPr>
      <w:r>
        <w:rPr>
          <w:rFonts w:ascii="Calibri" w:hAnsi="Calibri"/>
          <w:b w:val="0"/>
          <w:i w:val="0"/>
          <w:color w:val="222222"/>
          <w:sz w:val="22"/>
        </w:rPr>
        <w:t>Strengthen Systems Before Scaling Services</w:t>
      </w:r>
    </w:p>
    <w:p>
      <w:pPr>
        <w:pStyle w:val="ListBullet"/>
        <w:spacing w:after="60"/>
      </w:pPr>
      <w:r>
        <w:rPr>
          <w:rFonts w:ascii="Calibri" w:hAnsi="Calibri"/>
          <w:b w:val="0"/>
          <w:i w:val="0"/>
          <w:color w:val="222222"/>
          <w:sz w:val="22"/>
        </w:rPr>
        <w:t>Promote Partnerships Before Duplication</w:t>
      </w:r>
    </w:p>
    <w:p>
      <w:pPr>
        <w:pStyle w:val="ListBullet"/>
        <w:spacing w:after="60"/>
      </w:pPr>
      <w:r>
        <w:rPr>
          <w:rFonts w:ascii="Calibri" w:hAnsi="Calibri"/>
          <w:b w:val="0"/>
          <w:i w:val="0"/>
          <w:color w:val="222222"/>
          <w:sz w:val="22"/>
        </w:rPr>
        <w:t>Measure Progress Before Accelerating Growth</w:t>
      </w:r>
    </w:p>
    <w:p>
      <w:pPr>
        <w:pStyle w:val="ListBullet"/>
        <w:spacing w:after="60"/>
      </w:pPr>
      <w:r>
        <w:rPr>
          <w:rFonts w:ascii="Calibri" w:hAnsi="Calibri"/>
          <w:b w:val="0"/>
          <w:i w:val="0"/>
          <w:color w:val="222222"/>
          <w:sz w:val="22"/>
        </w:rPr>
        <w:t>Pursue Sustainability Before Replication</w:t>
      </w:r>
    </w:p>
    <w:p>
      <w:pPr>
        <w:spacing w:before="240" w:after="120"/>
      </w:pPr>
      <w:r>
        <w:rPr>
          <w:rFonts w:ascii="Calibri" w:hAnsi="Calibri"/>
          <w:b/>
          <w:i w:val="0"/>
          <w:color w:val="1A3A5C"/>
          <w:sz w:val="26"/>
        </w:rPr>
        <w:t>Transformation Gate (before stage progression)</w:t>
      </w:r>
    </w:p>
    <w:p>
      <w:pPr>
        <w:spacing w:after="120" w:before="0" w:line="276" w:lineRule="auto"/>
        <w:jc w:val="left"/>
      </w:pPr>
      <w:r>
        <w:rPr>
          <w:rFonts w:ascii="Calibri" w:hAnsi="Calibri"/>
          <w:b w:val="0"/>
          <w:i w:val="0"/>
          <w:color w:val="222222"/>
          <w:sz w:val="22"/>
        </w:rPr>
        <w:t>Do not advance only because a calendar year ended. Present Board-ready evidence that:</w:t>
      </w:r>
    </w:p>
    <w:p>
      <w:pPr>
        <w:pStyle w:val="ListBullet"/>
        <w:spacing w:after="60"/>
      </w:pPr>
      <w:r>
        <w:rPr>
          <w:rFonts w:ascii="Calibri" w:hAnsi="Calibri"/>
          <w:b w:val="0"/>
          <w:i w:val="0"/>
          <w:color w:val="222222"/>
          <w:sz w:val="22"/>
        </w:rPr>
        <w:t>Current-stage priority deliverables are substantially complete</w:t>
      </w:r>
    </w:p>
    <w:p>
      <w:pPr>
        <w:pStyle w:val="ListBullet"/>
        <w:spacing w:after="60"/>
      </w:pPr>
      <w:r>
        <w:rPr>
          <w:rFonts w:ascii="Calibri" w:hAnsi="Calibri"/>
          <w:b w:val="0"/>
          <w:i w:val="0"/>
          <w:color w:val="222222"/>
          <w:sz w:val="22"/>
        </w:rPr>
        <w:t>Risks are identified and mitigated</w:t>
      </w:r>
    </w:p>
    <w:p>
      <w:pPr>
        <w:pStyle w:val="ListBullet"/>
        <w:spacing w:after="60"/>
      </w:pPr>
      <w:r>
        <w:rPr>
          <w:rFonts w:ascii="Calibri" w:hAnsi="Calibri"/>
          <w:b w:val="0"/>
          <w:i w:val="0"/>
          <w:color w:val="222222"/>
          <w:sz w:val="22"/>
        </w:rPr>
        <w:t>Financing and workforce can sustain the next stage</w:t>
      </w:r>
    </w:p>
    <w:p>
      <w:pPr>
        <w:pStyle w:val="ListBullet"/>
        <w:spacing w:after="60"/>
      </w:pPr>
      <w:r>
        <w:rPr>
          <w:rFonts w:ascii="Calibri" w:hAnsi="Calibri"/>
          <w:b w:val="0"/>
          <w:i w:val="0"/>
          <w:color w:val="222222"/>
          <w:sz w:val="22"/>
        </w:rPr>
        <w:t>MEL shows acceptable progress or an explicit recovery plan</w:t>
      </w:r>
    </w:p>
    <w:p>
      <w:pPr>
        <w:pStyle w:val="ListBullet"/>
        <w:spacing w:after="60"/>
      </w:pPr>
      <w:r>
        <w:rPr>
          <w:rFonts w:ascii="Calibri" w:hAnsi="Calibri"/>
          <w:b w:val="0"/>
          <w:i w:val="0"/>
          <w:color w:val="222222"/>
          <w:sz w:val="22"/>
        </w:rPr>
        <w:t>Patient safety and clinical quality are not compromised by expansion</w:t>
      </w:r>
    </w:p>
    <w:p>
      <w:pPr>
        <w:spacing w:after="120" w:before="0" w:line="276" w:lineRule="auto"/>
        <w:jc w:val="left"/>
      </w:pPr>
      <w:r>
        <w:rPr>
          <w:rFonts w:ascii="Calibri" w:hAnsi="Calibri"/>
          <w:b w:val="0"/>
          <w:i w:val="0"/>
          <w:color w:val="222222"/>
          <w:sz w:val="22"/>
        </w:rPr>
        <w:t>Gate decisions: Proceed · Proceed with conditions · Hold and remediate · Redesign scope</w:t>
      </w:r>
    </w:p>
    <w:p>
      <w:pPr>
        <w:pageBreakBefore/>
        <w:spacing w:after="160"/>
        <w:jc w:val="center"/>
      </w:pPr>
      <w:r>
        <w:rPr>
          <w:rFonts w:ascii="Calibri" w:hAnsi="Calibri"/>
          <w:b/>
          <w:i w:val="0"/>
          <w:color w:val="1A3A5C"/>
          <w:sz w:val="32"/>
        </w:rPr>
        <w:t>5. Stage playbooks</w:t>
      </w:r>
    </w:p>
    <w:p>
      <w:pPr>
        <w:spacing w:before="240" w:after="120"/>
      </w:pPr>
      <w:r>
        <w:rPr>
          <w:rFonts w:ascii="Calibri" w:hAnsi="Calibri"/>
          <w:b/>
          <w:i w:val="0"/>
          <w:color w:val="1A3A5C"/>
          <w:sz w:val="26"/>
        </w:rPr>
        <w:t>2027 — Foundation</w:t>
      </w:r>
    </w:p>
    <w:p>
      <w:pPr>
        <w:spacing w:after="120" w:before="0" w:line="276" w:lineRule="auto"/>
        <w:jc w:val="left"/>
      </w:pPr>
      <w:r>
        <w:rPr>
          <w:rFonts w:ascii="Calibri" w:hAnsi="Calibri"/>
          <w:b w:val="0"/>
          <w:i w:val="0"/>
          <w:color w:val="222222"/>
          <w:sz w:val="22"/>
        </w:rPr>
        <w:t>Goal: Establish governance, systems, people, finance, digital, and operational foundations.</w:t>
      </w:r>
    </w:p>
    <w:p>
      <w:pPr>
        <w:pStyle w:val="ListBullet"/>
        <w:spacing w:after="60"/>
      </w:pPr>
      <w:r>
        <w:rPr>
          <w:rFonts w:ascii="Calibri" w:hAnsi="Calibri"/>
          <w:b w:val="0"/>
          <w:i w:val="0"/>
          <w:color w:val="222222"/>
          <w:sz w:val="22"/>
        </w:rPr>
        <w:t>Implement FITF layers and core policies/SOPs</w:t>
      </w:r>
    </w:p>
    <w:p>
      <w:pPr>
        <w:pStyle w:val="ListBullet"/>
        <w:spacing w:after="60"/>
      </w:pPr>
      <w:r>
        <w:rPr>
          <w:rFonts w:ascii="Calibri" w:hAnsi="Calibri"/>
          <w:b w:val="0"/>
          <w:i w:val="0"/>
          <w:color w:val="222222"/>
          <w:sz w:val="22"/>
        </w:rPr>
        <w:t>Strengthen financial controls and reporting cadence</w:t>
      </w:r>
    </w:p>
    <w:p>
      <w:pPr>
        <w:pStyle w:val="ListBullet"/>
        <w:spacing w:after="60"/>
      </w:pPr>
      <w:r>
        <w:rPr>
          <w:rFonts w:ascii="Calibri" w:hAnsi="Calibri"/>
          <w:b w:val="0"/>
          <w:i w:val="0"/>
          <w:color w:val="222222"/>
          <w:sz w:val="22"/>
        </w:rPr>
        <w:t>Operationalise FCHIP foundations in phases (do not over-claim live capability)</w:t>
      </w:r>
    </w:p>
    <w:p>
      <w:pPr>
        <w:pStyle w:val="ListBullet"/>
        <w:spacing w:after="60"/>
      </w:pPr>
      <w:r>
        <w:rPr>
          <w:rFonts w:ascii="Calibri" w:hAnsi="Calibri"/>
          <w:b w:val="0"/>
          <w:i w:val="0"/>
          <w:color w:val="222222"/>
          <w:sz w:val="22"/>
        </w:rPr>
        <w:t>Expand primary/preventive services carefully</w:t>
      </w:r>
    </w:p>
    <w:p>
      <w:pPr>
        <w:pStyle w:val="ListBullet"/>
        <w:spacing w:after="60"/>
      </w:pPr>
      <w:r>
        <w:rPr>
          <w:rFonts w:ascii="Calibri" w:hAnsi="Calibri"/>
          <w:b w:val="0"/>
          <w:i w:val="0"/>
          <w:color w:val="222222"/>
          <w:sz w:val="22"/>
        </w:rPr>
        <w:t>Set institutional baselines and partnership framework</w:t>
      </w:r>
    </w:p>
    <w:p>
      <w:pPr>
        <w:spacing w:after="120" w:before="0" w:line="276" w:lineRule="auto"/>
        <w:jc w:val="left"/>
      </w:pPr>
      <w:r>
        <w:rPr>
          <w:rFonts w:ascii="Calibri" w:hAnsi="Calibri"/>
          <w:b w:val="0"/>
          <w:i w:val="0"/>
          <w:color w:val="222222"/>
          <w:sz w:val="22"/>
        </w:rPr>
        <w:t>Exit test: Foundations can support Integration without unsafe scale-up.</w:t>
      </w:r>
    </w:p>
    <w:p>
      <w:pPr>
        <w:spacing w:before="240" w:after="120"/>
      </w:pPr>
      <w:r>
        <w:rPr>
          <w:rFonts w:ascii="Calibri" w:hAnsi="Calibri"/>
          <w:b/>
          <w:i w:val="0"/>
          <w:color w:val="1A3A5C"/>
          <w:sz w:val="26"/>
        </w:rPr>
        <w:t>2028 — Integration</w:t>
      </w:r>
    </w:p>
    <w:p>
      <w:pPr>
        <w:spacing w:after="120" w:before="0" w:line="276" w:lineRule="auto"/>
        <w:jc w:val="left"/>
      </w:pPr>
      <w:r>
        <w:rPr>
          <w:rFonts w:ascii="Calibri" w:hAnsi="Calibri"/>
          <w:b w:val="0"/>
          <w:i w:val="0"/>
          <w:color w:val="222222"/>
          <w:sz w:val="22"/>
        </w:rPr>
        <w:t>Goal: Integrate clinical, community, digital, and workforce pathways.</w:t>
      </w:r>
    </w:p>
    <w:p>
      <w:pPr>
        <w:pStyle w:val="ListBullet"/>
        <w:spacing w:after="60"/>
      </w:pPr>
      <w:r>
        <w:rPr>
          <w:rFonts w:ascii="Calibri" w:hAnsi="Calibri"/>
          <w:b w:val="0"/>
          <w:i w:val="0"/>
          <w:color w:val="222222"/>
          <w:sz w:val="22"/>
        </w:rPr>
        <w:t>Strengthen multidisciplinary care and FIHE continuity</w:t>
      </w:r>
    </w:p>
    <w:p>
      <w:pPr>
        <w:pStyle w:val="ListBullet"/>
        <w:spacing w:after="60"/>
      </w:pPr>
      <w:r>
        <w:rPr>
          <w:rFonts w:ascii="Calibri" w:hAnsi="Calibri"/>
          <w:b w:val="0"/>
          <w:i w:val="0"/>
          <w:color w:val="222222"/>
          <w:sz w:val="22"/>
        </w:rPr>
        <w:t>Integrate community health with facility pathways</w:t>
      </w:r>
    </w:p>
    <w:p>
      <w:pPr>
        <w:pStyle w:val="ListBullet"/>
        <w:spacing w:after="60"/>
      </w:pPr>
      <w:r>
        <w:rPr>
          <w:rFonts w:ascii="Calibri" w:hAnsi="Calibri"/>
          <w:b w:val="0"/>
          <w:i w:val="0"/>
          <w:color w:val="222222"/>
          <w:sz w:val="22"/>
        </w:rPr>
        <w:t>Improve patient experience and quality improvement loops</w:t>
      </w:r>
    </w:p>
    <w:p>
      <w:pPr>
        <w:pStyle w:val="ListBullet"/>
        <w:spacing w:after="60"/>
      </w:pPr>
      <w:r>
        <w:rPr>
          <w:rFonts w:ascii="Calibri" w:hAnsi="Calibri"/>
          <w:b w:val="0"/>
          <w:i w:val="0"/>
          <w:color w:val="222222"/>
          <w:sz w:val="22"/>
        </w:rPr>
        <w:t>Deepen data use for decisions</w:t>
      </w:r>
    </w:p>
    <w:p>
      <w:pPr>
        <w:spacing w:after="120" w:before="0" w:line="276" w:lineRule="auto"/>
        <w:jc w:val="left"/>
      </w:pPr>
      <w:r>
        <w:rPr>
          <w:rFonts w:ascii="Calibri" w:hAnsi="Calibri"/>
          <w:b w:val="0"/>
          <w:i w:val="0"/>
          <w:color w:val="222222"/>
          <w:sz w:val="22"/>
        </w:rPr>
        <w:t>Exit test: Patients and teams experience one system, not siloed units.</w:t>
      </w:r>
    </w:p>
    <w:p>
      <w:pPr>
        <w:spacing w:before="240" w:after="120"/>
      </w:pPr>
      <w:r>
        <w:rPr>
          <w:rFonts w:ascii="Calibri" w:hAnsi="Calibri"/>
          <w:b/>
          <w:i w:val="0"/>
          <w:color w:val="1A3A5C"/>
          <w:sz w:val="26"/>
        </w:rPr>
        <w:t>2029 — Innovation</w:t>
      </w:r>
    </w:p>
    <w:p>
      <w:pPr>
        <w:spacing w:after="120" w:before="0" w:line="276" w:lineRule="auto"/>
        <w:jc w:val="left"/>
      </w:pPr>
      <w:r>
        <w:rPr>
          <w:rFonts w:ascii="Calibri" w:hAnsi="Calibri"/>
          <w:b w:val="0"/>
          <w:i w:val="0"/>
          <w:color w:val="222222"/>
          <w:sz w:val="22"/>
        </w:rPr>
        <w:t>Goal: Use learning, research, and responsible digital intelligence to improve care and operations.</w:t>
      </w:r>
    </w:p>
    <w:p>
      <w:pPr>
        <w:pStyle w:val="ListBullet"/>
        <w:spacing w:after="60"/>
      </w:pPr>
      <w:r>
        <w:rPr>
          <w:rFonts w:ascii="Calibri" w:hAnsi="Calibri"/>
          <w:b w:val="0"/>
          <w:i w:val="0"/>
          <w:color w:val="222222"/>
          <w:sz w:val="22"/>
        </w:rPr>
        <w:t>Advance FCHIP analytics use-cases under clinical governance</w:t>
      </w:r>
    </w:p>
    <w:p>
      <w:pPr>
        <w:pStyle w:val="ListBullet"/>
        <w:spacing w:after="60"/>
      </w:pPr>
      <w:r>
        <w:rPr>
          <w:rFonts w:ascii="Calibri" w:hAnsi="Calibri"/>
          <w:b w:val="0"/>
          <w:i w:val="0"/>
          <w:color w:val="222222"/>
          <w:sz w:val="22"/>
        </w:rPr>
        <w:t>Strengthen research and education partnerships</w:t>
      </w:r>
    </w:p>
    <w:p>
      <w:pPr>
        <w:pStyle w:val="ListBullet"/>
        <w:spacing w:after="60"/>
      </w:pPr>
      <w:r>
        <w:rPr>
          <w:rFonts w:ascii="Calibri" w:hAnsi="Calibri"/>
          <w:b w:val="0"/>
          <w:i w:val="0"/>
          <w:color w:val="222222"/>
          <w:sz w:val="22"/>
        </w:rPr>
        <w:t>Improve maturity scores on priority FMM dimensions</w:t>
      </w:r>
    </w:p>
    <w:p>
      <w:pPr>
        <w:spacing w:after="120" w:before="0" w:line="276" w:lineRule="auto"/>
        <w:jc w:val="left"/>
      </w:pPr>
      <w:r>
        <w:rPr>
          <w:rFonts w:ascii="Calibri" w:hAnsi="Calibri"/>
          <w:b w:val="0"/>
          <w:i w:val="0"/>
          <w:color w:val="222222"/>
          <w:sz w:val="22"/>
        </w:rPr>
        <w:t>Exit test: Innovation improves outcomes or efficiency with documented learning.</w:t>
      </w:r>
    </w:p>
    <w:p>
      <w:pPr>
        <w:spacing w:before="240" w:after="120"/>
      </w:pPr>
      <w:r>
        <w:rPr>
          <w:rFonts w:ascii="Calibri" w:hAnsi="Calibri"/>
          <w:b/>
          <w:i w:val="0"/>
          <w:color w:val="1A3A5C"/>
          <w:sz w:val="26"/>
        </w:rPr>
        <w:t>2030–2031 — Leadership</w:t>
      </w:r>
    </w:p>
    <w:p>
      <w:pPr>
        <w:spacing w:after="120" w:before="0" w:line="276" w:lineRule="auto"/>
        <w:jc w:val="left"/>
      </w:pPr>
      <w:r>
        <w:rPr>
          <w:rFonts w:ascii="Calibri" w:hAnsi="Calibri"/>
          <w:b w:val="0"/>
          <w:i w:val="0"/>
          <w:color w:val="222222"/>
          <w:sz w:val="22"/>
        </w:rPr>
        <w:t>Goal: Strengthen FairBanks as a trusted institutional leader and partner.</w:t>
      </w:r>
    </w:p>
    <w:p>
      <w:pPr>
        <w:pStyle w:val="ListBullet"/>
        <w:spacing w:after="60"/>
      </w:pPr>
      <w:r>
        <w:rPr>
          <w:rFonts w:ascii="Calibri" w:hAnsi="Calibri"/>
          <w:b w:val="0"/>
          <w:i w:val="0"/>
          <w:color w:val="222222"/>
          <w:sz w:val="22"/>
        </w:rPr>
        <w:t>Scale proven models with partners (avoid duplication)</w:t>
      </w:r>
    </w:p>
    <w:p>
      <w:pPr>
        <w:pStyle w:val="ListBullet"/>
        <w:spacing w:after="60"/>
      </w:pPr>
      <w:r>
        <w:rPr>
          <w:rFonts w:ascii="Calibri" w:hAnsi="Calibri"/>
          <w:b w:val="0"/>
          <w:i w:val="0"/>
          <w:color w:val="222222"/>
          <w:sz w:val="22"/>
        </w:rPr>
        <w:t>Strengthen influence, brand integrity, and policy dialogue</w:t>
      </w:r>
    </w:p>
    <w:p>
      <w:pPr>
        <w:pStyle w:val="ListBullet"/>
        <w:spacing w:after="60"/>
      </w:pPr>
      <w:r>
        <w:rPr>
          <w:rFonts w:ascii="Calibri" w:hAnsi="Calibri"/>
          <w:b w:val="0"/>
          <w:i w:val="0"/>
          <w:color w:val="222222"/>
          <w:sz w:val="22"/>
        </w:rPr>
        <w:t>Build leadership bench strength and succession practice</w:t>
      </w:r>
    </w:p>
    <w:p>
      <w:pPr>
        <w:spacing w:after="120" w:before="0" w:line="276" w:lineRule="auto"/>
        <w:jc w:val="left"/>
      </w:pPr>
      <w:r>
        <w:rPr>
          <w:rFonts w:ascii="Calibri" w:hAnsi="Calibri"/>
          <w:b w:val="0"/>
          <w:i w:val="0"/>
          <w:color w:val="222222"/>
          <w:sz w:val="22"/>
        </w:rPr>
        <w:t>Exit test: FairBanks can lead collaboratively without founder-only dependence.</w:t>
      </w:r>
    </w:p>
    <w:p>
      <w:pPr>
        <w:spacing w:before="240" w:after="120"/>
      </w:pPr>
      <w:r>
        <w:rPr>
          <w:rFonts w:ascii="Calibri" w:hAnsi="Calibri"/>
          <w:b/>
          <w:i w:val="0"/>
          <w:color w:val="1A3A5C"/>
          <w:sz w:val="26"/>
        </w:rPr>
        <w:t>2032 — Sustainability</w:t>
      </w:r>
    </w:p>
    <w:p>
      <w:pPr>
        <w:spacing w:after="120" w:before="0" w:line="276" w:lineRule="auto"/>
        <w:jc w:val="left"/>
      </w:pPr>
      <w:r>
        <w:rPr>
          <w:rFonts w:ascii="Calibri" w:hAnsi="Calibri"/>
          <w:b w:val="0"/>
          <w:i w:val="0"/>
          <w:color w:val="222222"/>
          <w:sz w:val="22"/>
        </w:rPr>
        <w:t>Goal: Lock in stewardship, resilience, and lasting community value.</w:t>
      </w:r>
    </w:p>
    <w:p>
      <w:pPr>
        <w:pStyle w:val="ListBullet"/>
        <w:spacing w:after="60"/>
      </w:pPr>
      <w:r>
        <w:rPr>
          <w:rFonts w:ascii="Calibri" w:hAnsi="Calibri"/>
          <w:b w:val="0"/>
          <w:i w:val="0"/>
          <w:color w:val="222222"/>
          <w:sz w:val="22"/>
        </w:rPr>
        <w:t>Apply stewardship and investment tools before major spend</w:t>
      </w:r>
    </w:p>
    <w:p>
      <w:pPr>
        <w:pStyle w:val="ListBullet"/>
        <w:spacing w:after="60"/>
      </w:pPr>
      <w:r>
        <w:rPr>
          <w:rFonts w:ascii="Calibri" w:hAnsi="Calibri"/>
          <w:b w:val="0"/>
          <w:i w:val="0"/>
          <w:color w:val="222222"/>
          <w:sz w:val="22"/>
        </w:rPr>
        <w:t>Confirm financial and operational resilience</w:t>
      </w:r>
    </w:p>
    <w:p>
      <w:pPr>
        <w:pStyle w:val="ListBullet"/>
        <w:spacing w:after="60"/>
      </w:pPr>
      <w:r>
        <w:rPr>
          <w:rFonts w:ascii="Calibri" w:hAnsi="Calibri"/>
          <w:b w:val="0"/>
          <w:i w:val="0"/>
          <w:color w:val="222222"/>
          <w:sz w:val="22"/>
        </w:rPr>
        <w:t>Refresh Covenant commitments for the next horizon</w:t>
      </w:r>
    </w:p>
    <w:p>
      <w:pPr>
        <w:spacing w:after="120" w:before="0" w:line="276" w:lineRule="auto"/>
        <w:jc w:val="left"/>
      </w:pPr>
      <w:r>
        <w:rPr>
          <w:rFonts w:ascii="Calibri" w:hAnsi="Calibri"/>
          <w:b w:val="0"/>
          <w:i w:val="0"/>
          <w:color w:val="222222"/>
          <w:sz w:val="22"/>
        </w:rPr>
        <w:t>Exit test: The institution can endure beyond one planning cycle.</w:t>
      </w:r>
    </w:p>
    <w:p>
      <w:pPr>
        <w:pageBreakBefore/>
        <w:spacing w:after="160"/>
        <w:jc w:val="center"/>
      </w:pPr>
      <w:r>
        <w:rPr>
          <w:rFonts w:ascii="Calibri" w:hAnsi="Calibri"/>
          <w:b/>
          <w:i w:val="0"/>
          <w:color w:val="1A3A5C"/>
          <w:sz w:val="32"/>
        </w:rPr>
        <w:t>6. Blueprint → Handbook crosswalk</w:t>
      </w:r>
    </w:p>
    <w:tbl>
      <w:tblPr>
        <w:tblStyle w:val="TableGrid"/>
        <w:tblW w:type="auto" w:w="0"/>
        <w:tblLook w:firstColumn="1" w:firstRow="1" w:lastColumn="0" w:lastRow="0" w:noHBand="0" w:noVBand="1" w:val="04A0"/>
      </w:tblPr>
      <w:tblGrid>
        <w:gridCol w:w="4680"/>
        <w:gridCol w:w="4680"/>
      </w:tblGrid>
      <w:tr>
        <w:tc>
          <w:tcPr>
            <w:tcW w:type="dxa" w:w="4680"/>
            <w:shd w:fill="1A3A5C" w:val="clear"/>
          </w:tcPr>
          <w:p>
            <w:r/>
            <w:r>
              <w:rPr>
                <w:rFonts w:ascii="Calibri" w:hAnsi="Calibri"/>
                <w:b/>
                <w:i w:val="0"/>
                <w:color w:val="FFFFFF"/>
                <w:sz w:val="20"/>
              </w:rPr>
              <w:t>Blueprint chapter</w:t>
            </w:r>
          </w:p>
        </w:tc>
        <w:tc>
          <w:tcPr>
            <w:tcW w:type="dxa" w:w="4680"/>
            <w:shd w:fill="1A3A5C" w:val="clear"/>
          </w:tcPr>
          <w:p>
            <w:r/>
            <w:r>
              <w:rPr>
                <w:rFonts w:ascii="Calibri" w:hAnsi="Calibri"/>
                <w:b/>
                <w:i w:val="0"/>
                <w:color w:val="FFFFFF"/>
                <w:sz w:val="20"/>
              </w:rPr>
              <w:t>Handbook use</w:t>
            </w:r>
          </w:p>
        </w:tc>
      </w:tr>
      <w:tr>
        <w:tc>
          <w:tcPr>
            <w:tcW w:type="dxa" w:w="4680"/>
          </w:tcPr>
          <w:p>
            <w:r/>
            <w:r>
              <w:rPr>
                <w:rFonts w:ascii="Calibri" w:hAnsi="Calibri"/>
                <w:b w:val="0"/>
                <w:i w:val="0"/>
                <w:color w:val="222222"/>
                <w:sz w:val="20"/>
              </w:rPr>
              <w:t>Ch 1–3 Vision &amp; landscape</w:t>
            </w:r>
          </w:p>
        </w:tc>
        <w:tc>
          <w:tcPr>
            <w:tcW w:type="dxa" w:w="4680"/>
          </w:tcPr>
          <w:p>
            <w:r/>
            <w:r>
              <w:rPr>
                <w:rFonts w:ascii="Calibri" w:hAnsi="Calibri"/>
                <w:b w:val="0"/>
                <w:i w:val="0"/>
                <w:color w:val="222222"/>
                <w:sz w:val="20"/>
              </w:rPr>
              <w:t>Orientation for new leaders</w:t>
            </w:r>
          </w:p>
        </w:tc>
      </w:tr>
      <w:tr>
        <w:tc>
          <w:tcPr>
            <w:tcW w:type="dxa" w:w="4680"/>
          </w:tcPr>
          <w:p>
            <w:r/>
            <w:r>
              <w:rPr>
                <w:rFonts w:ascii="Calibri" w:hAnsi="Calibri"/>
                <w:b w:val="0"/>
                <w:i w:val="0"/>
                <w:color w:val="222222"/>
                <w:sz w:val="20"/>
              </w:rPr>
              <w:t>Ch 4 FITF</w:t>
            </w:r>
          </w:p>
        </w:tc>
        <w:tc>
          <w:tcPr>
            <w:tcW w:type="dxa" w:w="4680"/>
          </w:tcPr>
          <w:p>
            <w:r/>
            <w:r>
              <w:rPr>
                <w:rFonts w:ascii="Calibri" w:hAnsi="Calibri"/>
                <w:b w:val="0"/>
                <w:i w:val="0"/>
                <w:color w:val="222222"/>
                <w:sz w:val="20"/>
              </w:rPr>
              <w:t>Foundation design checklist</w:t>
            </w:r>
          </w:p>
        </w:tc>
      </w:tr>
      <w:tr>
        <w:tc>
          <w:tcPr>
            <w:tcW w:type="dxa" w:w="4680"/>
          </w:tcPr>
          <w:p>
            <w:r/>
            <w:r>
              <w:rPr>
                <w:rFonts w:ascii="Calibri" w:hAnsi="Calibri"/>
                <w:b w:val="0"/>
                <w:i w:val="0"/>
                <w:color w:val="222222"/>
                <w:sz w:val="20"/>
              </w:rPr>
              <w:t>Ch 5 FIHE</w:t>
            </w:r>
          </w:p>
        </w:tc>
        <w:tc>
          <w:tcPr>
            <w:tcW w:type="dxa" w:w="4680"/>
          </w:tcPr>
          <w:p>
            <w:r/>
            <w:r>
              <w:rPr>
                <w:rFonts w:ascii="Calibri" w:hAnsi="Calibri"/>
                <w:b w:val="0"/>
                <w:i w:val="0"/>
                <w:color w:val="222222"/>
                <w:sz w:val="20"/>
              </w:rPr>
              <w:t>Service integration checklist</w:t>
            </w:r>
          </w:p>
        </w:tc>
      </w:tr>
      <w:tr>
        <w:tc>
          <w:tcPr>
            <w:tcW w:type="dxa" w:w="4680"/>
          </w:tcPr>
          <w:p>
            <w:r/>
            <w:r>
              <w:rPr>
                <w:rFonts w:ascii="Calibri" w:hAnsi="Calibri"/>
                <w:b w:val="0"/>
                <w:i w:val="0"/>
                <w:color w:val="222222"/>
                <w:sz w:val="20"/>
              </w:rPr>
              <w:t>Ch 6 F7TM</w:t>
            </w:r>
          </w:p>
        </w:tc>
        <w:tc>
          <w:tcPr>
            <w:tcW w:type="dxa" w:w="4680"/>
          </w:tcPr>
          <w:p>
            <w:r/>
            <w:r>
              <w:rPr>
                <w:rFonts w:ascii="Calibri" w:hAnsi="Calibri"/>
                <w:b w:val="0"/>
                <w:i w:val="0"/>
                <w:color w:val="222222"/>
                <w:sz w:val="20"/>
              </w:rPr>
              <w:t>Execution alignment workshop tool</w:t>
            </w:r>
          </w:p>
        </w:tc>
      </w:tr>
      <w:tr>
        <w:tc>
          <w:tcPr>
            <w:tcW w:type="dxa" w:w="4680"/>
          </w:tcPr>
          <w:p>
            <w:r/>
            <w:r>
              <w:rPr>
                <w:rFonts w:ascii="Calibri" w:hAnsi="Calibri"/>
                <w:b w:val="0"/>
                <w:i w:val="0"/>
                <w:color w:val="222222"/>
                <w:sz w:val="20"/>
              </w:rPr>
              <w:t>Ch 7 FMM</w:t>
            </w:r>
          </w:p>
        </w:tc>
        <w:tc>
          <w:tcPr>
            <w:tcW w:type="dxa" w:w="4680"/>
          </w:tcPr>
          <w:p>
            <w:r/>
            <w:r>
              <w:rPr>
                <w:rFonts w:ascii="Calibri" w:hAnsi="Calibri"/>
                <w:b w:val="0"/>
                <w:i w:val="0"/>
                <w:color w:val="222222"/>
                <w:sz w:val="20"/>
              </w:rPr>
              <w:t>Quarterly maturity self-assessment</w:t>
            </w:r>
          </w:p>
        </w:tc>
      </w:tr>
      <w:tr>
        <w:tc>
          <w:tcPr>
            <w:tcW w:type="dxa" w:w="4680"/>
          </w:tcPr>
          <w:p>
            <w:r/>
            <w:r>
              <w:rPr>
                <w:rFonts w:ascii="Calibri" w:hAnsi="Calibri"/>
                <w:b w:val="0"/>
                <w:i w:val="0"/>
                <w:color w:val="222222"/>
                <w:sz w:val="20"/>
              </w:rPr>
              <w:t>Ch 8 FCHIP</w:t>
            </w:r>
          </w:p>
        </w:tc>
        <w:tc>
          <w:tcPr>
            <w:tcW w:type="dxa" w:w="4680"/>
          </w:tcPr>
          <w:p>
            <w:r/>
            <w:r>
              <w:rPr>
                <w:rFonts w:ascii="Calibri" w:hAnsi="Calibri"/>
                <w:b w:val="0"/>
                <w:i w:val="0"/>
                <w:color w:val="222222"/>
                <w:sz w:val="20"/>
              </w:rPr>
              <w:t>Digital/intelligence phased backlog</w:t>
            </w:r>
          </w:p>
        </w:tc>
      </w:tr>
      <w:tr>
        <w:tc>
          <w:tcPr>
            <w:tcW w:type="dxa" w:w="4680"/>
          </w:tcPr>
          <w:p>
            <w:r/>
            <w:r>
              <w:rPr>
                <w:rFonts w:ascii="Calibri" w:hAnsi="Calibri"/>
                <w:b w:val="0"/>
                <w:i w:val="0"/>
                <w:color w:val="222222"/>
                <w:sz w:val="20"/>
              </w:rPr>
              <w:t>Ch 9 CHIP</w:t>
            </w:r>
          </w:p>
        </w:tc>
        <w:tc>
          <w:tcPr>
            <w:tcW w:type="dxa" w:w="4680"/>
          </w:tcPr>
          <w:p>
            <w:r/>
            <w:r>
              <w:rPr>
                <w:rFonts w:ascii="Calibri" w:hAnsi="Calibri"/>
                <w:b w:val="0"/>
                <w:i w:val="0"/>
                <w:color w:val="222222"/>
                <w:sz w:val="20"/>
              </w:rPr>
              <w:t>Financing-protection pilot checklist</w:t>
            </w:r>
          </w:p>
        </w:tc>
      </w:tr>
      <w:tr>
        <w:tc>
          <w:tcPr>
            <w:tcW w:type="dxa" w:w="4680"/>
          </w:tcPr>
          <w:p>
            <w:r/>
            <w:r>
              <w:rPr>
                <w:rFonts w:ascii="Calibri" w:hAnsi="Calibri"/>
                <w:b w:val="0"/>
                <w:i w:val="0"/>
                <w:color w:val="222222"/>
                <w:sz w:val="20"/>
              </w:rPr>
              <w:t>Ch 10 Roadmap</w:t>
            </w:r>
          </w:p>
        </w:tc>
        <w:tc>
          <w:tcPr>
            <w:tcW w:type="dxa" w:w="4680"/>
          </w:tcPr>
          <w:p>
            <w:r/>
            <w:r>
              <w:rPr>
                <w:rFonts w:ascii="Calibri" w:hAnsi="Calibri"/>
                <w:b w:val="0"/>
                <w:i w:val="0"/>
                <w:color w:val="222222"/>
                <w:sz w:val="20"/>
              </w:rPr>
              <w:t>Master stage &amp; gate control</w:t>
            </w:r>
          </w:p>
        </w:tc>
      </w:tr>
      <w:tr>
        <w:tc>
          <w:tcPr>
            <w:tcW w:type="dxa" w:w="4680"/>
          </w:tcPr>
          <w:p>
            <w:r/>
            <w:r>
              <w:rPr>
                <w:rFonts w:ascii="Calibri" w:hAnsi="Calibri"/>
                <w:b w:val="0"/>
                <w:i w:val="0"/>
                <w:color w:val="222222"/>
                <w:sz w:val="20"/>
              </w:rPr>
              <w:t>Ch 11 Structure</w:t>
            </w:r>
          </w:p>
        </w:tc>
        <w:tc>
          <w:tcPr>
            <w:tcW w:type="dxa" w:w="4680"/>
          </w:tcPr>
          <w:p>
            <w:r/>
            <w:r>
              <w:rPr>
                <w:rFonts w:ascii="Calibri" w:hAnsi="Calibri"/>
                <w:b w:val="0"/>
                <w:i w:val="0"/>
                <w:color w:val="222222"/>
                <w:sz w:val="20"/>
              </w:rPr>
              <w:t>Role clarity map</w:t>
            </w:r>
          </w:p>
        </w:tc>
      </w:tr>
      <w:tr>
        <w:tc>
          <w:tcPr>
            <w:tcW w:type="dxa" w:w="4680"/>
          </w:tcPr>
          <w:p>
            <w:r/>
            <w:r>
              <w:rPr>
                <w:rFonts w:ascii="Calibri" w:hAnsi="Calibri"/>
                <w:b w:val="0"/>
                <w:i w:val="0"/>
                <w:color w:val="222222"/>
                <w:sz w:val="20"/>
              </w:rPr>
              <w:t>Ch 12 Financing</w:t>
            </w:r>
          </w:p>
        </w:tc>
        <w:tc>
          <w:tcPr>
            <w:tcW w:type="dxa" w:w="4680"/>
          </w:tcPr>
          <w:p>
            <w:r/>
            <w:r>
              <w:rPr>
                <w:rFonts w:ascii="Calibri" w:hAnsi="Calibri"/>
                <w:b w:val="0"/>
                <w:i w:val="0"/>
                <w:color w:val="222222"/>
                <w:sz w:val="20"/>
              </w:rPr>
              <w:t>Budget &amp; sustainability rhythm</w:t>
            </w:r>
          </w:p>
        </w:tc>
      </w:tr>
      <w:tr>
        <w:tc>
          <w:tcPr>
            <w:tcW w:type="dxa" w:w="4680"/>
          </w:tcPr>
          <w:p>
            <w:r/>
            <w:r>
              <w:rPr>
                <w:rFonts w:ascii="Calibri" w:hAnsi="Calibri"/>
                <w:b w:val="0"/>
                <w:i w:val="0"/>
                <w:color w:val="222222"/>
                <w:sz w:val="20"/>
              </w:rPr>
              <w:t>Ch 13 Partnerships</w:t>
            </w:r>
          </w:p>
        </w:tc>
        <w:tc>
          <w:tcPr>
            <w:tcW w:type="dxa" w:w="4680"/>
          </w:tcPr>
          <w:p>
            <w:r/>
            <w:r>
              <w:rPr>
                <w:rFonts w:ascii="Calibri" w:hAnsi="Calibri"/>
                <w:b w:val="0"/>
                <w:i w:val="0"/>
                <w:color w:val="222222"/>
                <w:sz w:val="20"/>
              </w:rPr>
              <w:t>Partner lifecycle checklist</w:t>
            </w:r>
          </w:p>
        </w:tc>
      </w:tr>
      <w:tr>
        <w:tc>
          <w:tcPr>
            <w:tcW w:type="dxa" w:w="4680"/>
          </w:tcPr>
          <w:p>
            <w:r/>
            <w:r>
              <w:rPr>
                <w:rFonts w:ascii="Calibri" w:hAnsi="Calibri"/>
                <w:b w:val="0"/>
                <w:i w:val="0"/>
                <w:color w:val="222222"/>
                <w:sz w:val="20"/>
              </w:rPr>
              <w:t>Ch 14 Identity &amp; influence</w:t>
            </w:r>
          </w:p>
        </w:tc>
        <w:tc>
          <w:tcPr>
            <w:tcW w:type="dxa" w:w="4680"/>
          </w:tcPr>
          <w:p>
            <w:r/>
            <w:r>
              <w:rPr>
                <w:rFonts w:ascii="Calibri" w:hAnsi="Calibri"/>
                <w:b w:val="0"/>
                <w:i w:val="0"/>
                <w:color w:val="222222"/>
                <w:sz w:val="20"/>
              </w:rPr>
              <w:t>Communications &amp; trust checklist</w:t>
            </w:r>
          </w:p>
        </w:tc>
      </w:tr>
      <w:tr>
        <w:tc>
          <w:tcPr>
            <w:tcW w:type="dxa" w:w="4680"/>
          </w:tcPr>
          <w:p>
            <w:r/>
            <w:r>
              <w:rPr>
                <w:rFonts w:ascii="Calibri" w:hAnsi="Calibri"/>
                <w:b w:val="0"/>
                <w:i w:val="0"/>
                <w:color w:val="222222"/>
                <w:sz w:val="20"/>
              </w:rPr>
              <w:t>Ch 15 MELKMF</w:t>
            </w:r>
          </w:p>
        </w:tc>
        <w:tc>
          <w:tcPr>
            <w:tcW w:type="dxa" w:w="4680"/>
          </w:tcPr>
          <w:p>
            <w:r/>
            <w:r>
              <w:rPr>
                <w:rFonts w:ascii="Calibri" w:hAnsi="Calibri"/>
                <w:b w:val="0"/>
                <w:i w:val="0"/>
                <w:color w:val="222222"/>
                <w:sz w:val="20"/>
              </w:rPr>
              <w:t>Dashboard &amp; learning agenda</w:t>
            </w:r>
          </w:p>
        </w:tc>
      </w:tr>
      <w:tr>
        <w:tc>
          <w:tcPr>
            <w:tcW w:type="dxa" w:w="4680"/>
          </w:tcPr>
          <w:p>
            <w:r/>
            <w:r>
              <w:rPr>
                <w:rFonts w:ascii="Calibri" w:hAnsi="Calibri"/>
                <w:b w:val="0"/>
                <w:i w:val="0"/>
                <w:color w:val="222222"/>
                <w:sz w:val="20"/>
              </w:rPr>
              <w:t>Ch 16 Risk</w:t>
            </w:r>
          </w:p>
        </w:tc>
        <w:tc>
          <w:tcPr>
            <w:tcW w:type="dxa" w:w="4680"/>
          </w:tcPr>
          <w:p>
            <w:r/>
            <w:r>
              <w:rPr>
                <w:rFonts w:ascii="Calibri" w:hAnsi="Calibri"/>
                <w:b w:val="0"/>
                <w:i w:val="0"/>
                <w:color w:val="222222"/>
                <w:sz w:val="20"/>
              </w:rPr>
              <w:t>Risk register cadence</w:t>
            </w:r>
          </w:p>
        </w:tc>
      </w:tr>
      <w:tr>
        <w:tc>
          <w:tcPr>
            <w:tcW w:type="dxa" w:w="4680"/>
          </w:tcPr>
          <w:p>
            <w:r/>
            <w:r>
              <w:rPr>
                <w:rFonts w:ascii="Calibri" w:hAnsi="Calibri"/>
                <w:b w:val="0"/>
                <w:i w:val="0"/>
                <w:color w:val="222222"/>
                <w:sz w:val="20"/>
              </w:rPr>
              <w:t>Ch 17 Stewardship &amp; investment</w:t>
            </w:r>
          </w:p>
        </w:tc>
        <w:tc>
          <w:tcPr>
            <w:tcW w:type="dxa" w:w="4680"/>
          </w:tcPr>
          <w:p>
            <w:r/>
            <w:r>
              <w:rPr>
                <w:rFonts w:ascii="Calibri" w:hAnsi="Calibri"/>
                <w:b w:val="0"/>
                <w:i w:val="0"/>
                <w:color w:val="222222"/>
                <w:sz w:val="20"/>
              </w:rPr>
              <w:t>Investment prioritisation</w:t>
            </w:r>
          </w:p>
        </w:tc>
      </w:tr>
      <w:tr>
        <w:tc>
          <w:tcPr>
            <w:tcW w:type="dxa" w:w="4680"/>
          </w:tcPr>
          <w:p>
            <w:r/>
            <w:r>
              <w:rPr>
                <w:rFonts w:ascii="Calibri" w:hAnsi="Calibri"/>
                <w:b w:val="0"/>
                <w:i w:val="0"/>
                <w:color w:val="222222"/>
                <w:sz w:val="20"/>
              </w:rPr>
              <w:t>Ch 18–21 Constitution</w:t>
            </w:r>
          </w:p>
        </w:tc>
        <w:tc>
          <w:tcPr>
            <w:tcW w:type="dxa" w:w="4680"/>
          </w:tcPr>
          <w:p>
            <w:r/>
            <w:r>
              <w:rPr>
                <w:rFonts w:ascii="Calibri" w:hAnsi="Calibri"/>
                <w:b w:val="0"/>
                <w:i w:val="0"/>
                <w:color w:val="222222"/>
                <w:sz w:val="20"/>
              </w:rPr>
              <w:t>Annual reaffirmation &amp; culture</w:t>
            </w:r>
          </w:p>
        </w:tc>
      </w:tr>
    </w:tbl>
    <w:p/>
    <w:p>
      <w:pPr>
        <w:pageBreakBefore/>
        <w:spacing w:after="160"/>
        <w:jc w:val="center"/>
      </w:pPr>
      <w:r>
        <w:rPr>
          <w:rFonts w:ascii="Calibri" w:hAnsi="Calibri"/>
          <w:b/>
          <w:i w:val="0"/>
          <w:color w:val="1A3A5C"/>
          <w:sz w:val="32"/>
        </w:rPr>
        <w:t>7. Operating rhythm</w:t>
      </w:r>
    </w:p>
    <w:p>
      <w:pPr>
        <w:spacing w:before="240" w:after="120"/>
      </w:pPr>
      <w:r>
        <w:rPr>
          <w:rFonts w:ascii="Calibri" w:hAnsi="Calibri"/>
          <w:b/>
          <w:i w:val="0"/>
          <w:color w:val="1A3A5C"/>
          <w:sz w:val="26"/>
        </w:rPr>
        <w:t>Weekly (management)</w:t>
      </w:r>
    </w:p>
    <w:p>
      <w:pPr>
        <w:pStyle w:val="ListBullet"/>
        <w:spacing w:after="60"/>
      </w:pPr>
      <w:r>
        <w:rPr>
          <w:rFonts w:ascii="Calibri" w:hAnsi="Calibri"/>
          <w:b w:val="0"/>
          <w:i w:val="0"/>
          <w:color w:val="222222"/>
          <w:sz w:val="22"/>
        </w:rPr>
        <w:t>Patient safety / quality exceptions</w:t>
      </w:r>
    </w:p>
    <w:p>
      <w:pPr>
        <w:pStyle w:val="ListBullet"/>
        <w:spacing w:after="60"/>
      </w:pPr>
      <w:r>
        <w:rPr>
          <w:rFonts w:ascii="Calibri" w:hAnsi="Calibri"/>
          <w:b w:val="0"/>
          <w:i w:val="0"/>
          <w:color w:val="222222"/>
          <w:sz w:val="22"/>
        </w:rPr>
        <w:t>Service continuity and staffing risks</w:t>
      </w:r>
    </w:p>
    <w:p>
      <w:pPr>
        <w:pStyle w:val="ListBullet"/>
        <w:spacing w:after="60"/>
      </w:pPr>
      <w:r>
        <w:rPr>
          <w:rFonts w:ascii="Calibri" w:hAnsi="Calibri"/>
          <w:b w:val="0"/>
          <w:i w:val="0"/>
          <w:color w:val="222222"/>
          <w:sz w:val="22"/>
        </w:rPr>
        <w:t>Priority project blockers</w:t>
      </w:r>
    </w:p>
    <w:p>
      <w:pPr>
        <w:spacing w:before="240" w:after="120"/>
      </w:pPr>
      <w:r>
        <w:rPr>
          <w:rFonts w:ascii="Calibri" w:hAnsi="Calibri"/>
          <w:b/>
          <w:i w:val="0"/>
          <w:color w:val="1A3A5C"/>
          <w:sz w:val="26"/>
        </w:rPr>
        <w:t>Monthly (executive)</w:t>
      </w:r>
    </w:p>
    <w:p>
      <w:pPr>
        <w:pStyle w:val="ListBullet"/>
        <w:spacing w:after="60"/>
      </w:pPr>
      <w:r>
        <w:rPr>
          <w:rFonts w:ascii="Calibri" w:hAnsi="Calibri"/>
          <w:b w:val="0"/>
          <w:i w:val="0"/>
          <w:color w:val="222222"/>
          <w:sz w:val="22"/>
        </w:rPr>
        <w:t>Stage deliverable progress</w:t>
      </w:r>
    </w:p>
    <w:p>
      <w:pPr>
        <w:pStyle w:val="ListBullet"/>
        <w:spacing w:after="60"/>
      </w:pPr>
      <w:r>
        <w:rPr>
          <w:rFonts w:ascii="Calibri" w:hAnsi="Calibri"/>
          <w:b w:val="0"/>
          <w:i w:val="0"/>
          <w:color w:val="222222"/>
          <w:sz w:val="22"/>
        </w:rPr>
        <w:t>Finance and sustainability signals</w:t>
      </w:r>
    </w:p>
    <w:p>
      <w:pPr>
        <w:pStyle w:val="ListBullet"/>
        <w:spacing w:after="60"/>
      </w:pPr>
      <w:r>
        <w:rPr>
          <w:rFonts w:ascii="Calibri" w:hAnsi="Calibri"/>
          <w:b w:val="0"/>
          <w:i w:val="0"/>
          <w:color w:val="222222"/>
          <w:sz w:val="22"/>
        </w:rPr>
        <w:t>Partnership and CHIP/FCHIP milestones</w:t>
      </w:r>
    </w:p>
    <w:p>
      <w:pPr>
        <w:pStyle w:val="ListBullet"/>
        <w:spacing w:after="60"/>
      </w:pPr>
      <w:r>
        <w:rPr>
          <w:rFonts w:ascii="Calibri" w:hAnsi="Calibri"/>
          <w:b w:val="0"/>
          <w:i w:val="0"/>
          <w:color w:val="222222"/>
          <w:sz w:val="22"/>
        </w:rPr>
        <w:t>Risk heat-map update</w:t>
      </w:r>
    </w:p>
    <w:p>
      <w:pPr>
        <w:spacing w:before="240" w:after="120"/>
      </w:pPr>
      <w:r>
        <w:rPr>
          <w:rFonts w:ascii="Calibri" w:hAnsi="Calibri"/>
          <w:b/>
          <w:i w:val="0"/>
          <w:color w:val="1A3A5C"/>
          <w:sz w:val="26"/>
        </w:rPr>
        <w:t>Quarterly (Board pack)</w:t>
      </w:r>
    </w:p>
    <w:p>
      <w:pPr>
        <w:pStyle w:val="ListBullet"/>
        <w:spacing w:after="60"/>
      </w:pPr>
      <w:r>
        <w:rPr>
          <w:rFonts w:ascii="Calibri" w:hAnsi="Calibri"/>
          <w:b w:val="0"/>
          <w:i w:val="0"/>
          <w:color w:val="222222"/>
          <w:sz w:val="22"/>
        </w:rPr>
        <w:t>Transformation Gate evidence when approaching a stage boundary</w:t>
      </w:r>
    </w:p>
    <w:p>
      <w:pPr>
        <w:pStyle w:val="ListBullet"/>
        <w:spacing w:after="60"/>
      </w:pPr>
      <w:r>
        <w:rPr>
          <w:rFonts w:ascii="Calibri" w:hAnsi="Calibri"/>
          <w:b w:val="0"/>
          <w:i w:val="0"/>
          <w:color w:val="222222"/>
          <w:sz w:val="22"/>
        </w:rPr>
        <w:t>MEL dashboard and FMM snapshot</w:t>
      </w:r>
    </w:p>
    <w:p>
      <w:pPr>
        <w:pStyle w:val="ListBullet"/>
        <w:spacing w:after="60"/>
      </w:pPr>
      <w:r>
        <w:rPr>
          <w:rFonts w:ascii="Calibri" w:hAnsi="Calibri"/>
          <w:b w:val="0"/>
          <w:i w:val="0"/>
          <w:color w:val="222222"/>
          <w:sz w:val="22"/>
        </w:rPr>
        <w:t>Material risks and mitigations</w:t>
      </w:r>
    </w:p>
    <w:p>
      <w:pPr>
        <w:pStyle w:val="ListBullet"/>
        <w:spacing w:after="60"/>
      </w:pPr>
      <w:r>
        <w:rPr>
          <w:rFonts w:ascii="Calibri" w:hAnsi="Calibri"/>
          <w:b w:val="0"/>
          <w:i w:val="0"/>
          <w:color w:val="222222"/>
          <w:sz w:val="22"/>
        </w:rPr>
        <w:t>Investment decisions requiring stewardship review</w:t>
      </w:r>
    </w:p>
    <w:p>
      <w:pPr>
        <w:spacing w:before="240" w:after="120"/>
      </w:pPr>
      <w:r>
        <w:rPr>
          <w:rFonts w:ascii="Calibri" w:hAnsi="Calibri"/>
          <w:b/>
          <w:i w:val="0"/>
          <w:color w:val="1A3A5C"/>
          <w:sz w:val="26"/>
        </w:rPr>
        <w:t>Annually</w:t>
      </w:r>
    </w:p>
    <w:p>
      <w:pPr>
        <w:pStyle w:val="ListBullet"/>
        <w:spacing w:after="60"/>
      </w:pPr>
      <w:r>
        <w:rPr>
          <w:rFonts w:ascii="Calibri" w:hAnsi="Calibri"/>
          <w:b w:val="0"/>
          <w:i w:val="0"/>
          <w:color w:val="222222"/>
          <w:sz w:val="22"/>
        </w:rPr>
        <w:t>Stage review against Blueprint Chapter 10</w:t>
      </w:r>
    </w:p>
    <w:p>
      <w:pPr>
        <w:pStyle w:val="ListBullet"/>
        <w:spacing w:after="60"/>
      </w:pPr>
      <w:r>
        <w:rPr>
          <w:rFonts w:ascii="Calibri" w:hAnsi="Calibri"/>
          <w:b w:val="0"/>
          <w:i w:val="0"/>
          <w:color w:val="222222"/>
          <w:sz w:val="22"/>
        </w:rPr>
        <w:t>Policy/SOP refresh</w:t>
      </w:r>
    </w:p>
    <w:p>
      <w:pPr>
        <w:pStyle w:val="ListBullet"/>
        <w:spacing w:after="60"/>
      </w:pPr>
      <w:r>
        <w:rPr>
          <w:rFonts w:ascii="Calibri" w:hAnsi="Calibri"/>
          <w:b w:val="0"/>
          <w:i w:val="0"/>
          <w:color w:val="222222"/>
          <w:sz w:val="22"/>
        </w:rPr>
        <w:t>Covenant reaffirmation</w:t>
      </w:r>
    </w:p>
    <w:p>
      <w:pPr>
        <w:pStyle w:val="ListBullet"/>
        <w:spacing w:after="60"/>
      </w:pPr>
      <w:r>
        <w:rPr>
          <w:rFonts w:ascii="Calibri" w:hAnsi="Calibri"/>
          <w:b w:val="0"/>
          <w:i w:val="0"/>
          <w:color w:val="222222"/>
          <w:sz w:val="22"/>
        </w:rPr>
        <w:t>Next-year plan within the 2027–2032 horizon</w:t>
      </w:r>
    </w:p>
    <w:p>
      <w:pPr>
        <w:pageBreakBefore/>
        <w:spacing w:after="160"/>
        <w:jc w:val="center"/>
      </w:pPr>
      <w:r>
        <w:rPr>
          <w:rFonts w:ascii="Calibri" w:hAnsi="Calibri"/>
          <w:b/>
          <w:i w:val="0"/>
          <w:color w:val="1A3A5C"/>
          <w:sz w:val="32"/>
        </w:rPr>
        <w:t>8. First 90 days checklist</w:t>
      </w:r>
    </w:p>
    <w:p>
      <w:pPr>
        <w:pStyle w:val="ListBullet"/>
        <w:spacing w:after="60"/>
      </w:pPr>
      <w:r>
        <w:rPr>
          <w:rFonts w:ascii="Calibri" w:hAnsi="Calibri"/>
          <w:b w:val="0"/>
          <w:i w:val="0"/>
          <w:color w:val="222222"/>
          <w:sz w:val="22"/>
        </w:rPr>
        <w:t>Read Blueprint Executive Summary, At a Glance, and Chapter 10</w:t>
      </w:r>
    </w:p>
    <w:p>
      <w:pPr>
        <w:pStyle w:val="ListBullet"/>
        <w:spacing w:after="60"/>
      </w:pPr>
      <w:r>
        <w:rPr>
          <w:rFonts w:ascii="Calibri" w:hAnsi="Calibri"/>
          <w:b w:val="0"/>
          <w:i w:val="0"/>
          <w:color w:val="222222"/>
          <w:sz w:val="22"/>
        </w:rPr>
        <w:t>Identify your stage and owned deliverables</w:t>
      </w:r>
    </w:p>
    <w:p>
      <w:pPr>
        <w:pStyle w:val="ListBullet"/>
        <w:spacing w:after="60"/>
      </w:pPr>
      <w:r>
        <w:rPr>
          <w:rFonts w:ascii="Calibri" w:hAnsi="Calibri"/>
          <w:b w:val="0"/>
          <w:i w:val="0"/>
          <w:color w:val="222222"/>
          <w:sz w:val="22"/>
        </w:rPr>
        <w:t>Confirm you are not inventing a parallel framework</w:t>
      </w:r>
    </w:p>
    <w:p>
      <w:pPr>
        <w:pStyle w:val="ListBullet"/>
        <w:spacing w:after="60"/>
      </w:pPr>
      <w:r>
        <w:rPr>
          <w:rFonts w:ascii="Calibri" w:hAnsi="Calibri"/>
          <w:b w:val="0"/>
          <w:i w:val="0"/>
          <w:color w:val="222222"/>
          <w:sz w:val="22"/>
        </w:rPr>
        <w:t>Set 3–5 measurable milestones for the quarter</w:t>
      </w:r>
    </w:p>
    <w:p>
      <w:pPr>
        <w:pStyle w:val="ListBullet"/>
        <w:spacing w:after="60"/>
      </w:pPr>
      <w:r>
        <w:rPr>
          <w:rFonts w:ascii="Calibri" w:hAnsi="Calibri"/>
          <w:b w:val="0"/>
          <w:i w:val="0"/>
          <w:color w:val="222222"/>
          <w:sz w:val="22"/>
        </w:rPr>
        <w:t>Agree MEL indicators with the responsible lead</w:t>
      </w:r>
    </w:p>
    <w:p>
      <w:pPr>
        <w:pStyle w:val="ListBullet"/>
        <w:spacing w:after="60"/>
      </w:pPr>
      <w:r>
        <w:rPr>
          <w:rFonts w:ascii="Calibri" w:hAnsi="Calibri"/>
          <w:b w:val="0"/>
          <w:i w:val="0"/>
          <w:color w:val="222222"/>
          <w:sz w:val="22"/>
        </w:rPr>
        <w:t>Log top 5 risks and owners</w:t>
      </w:r>
    </w:p>
    <w:p>
      <w:pPr>
        <w:pStyle w:val="ListBullet"/>
        <w:spacing w:after="60"/>
      </w:pPr>
      <w:r>
        <w:rPr>
          <w:rFonts w:ascii="Calibri" w:hAnsi="Calibri"/>
          <w:b w:val="0"/>
          <w:i w:val="0"/>
          <w:color w:val="222222"/>
          <w:sz w:val="22"/>
        </w:rPr>
        <w:t>Schedule the next gate review date</w:t>
      </w:r>
    </w:p>
    <w:p>
      <w:pPr>
        <w:pageBreakBefore/>
        <w:spacing w:after="160"/>
        <w:jc w:val="center"/>
      </w:pPr>
      <w:r>
        <w:rPr>
          <w:rFonts w:ascii="Calibri" w:hAnsi="Calibri"/>
          <w:b/>
          <w:i w:val="0"/>
          <w:color w:val="1A3A5C"/>
          <w:sz w:val="32"/>
        </w:rPr>
        <w:t>9. Language locks (do not drift)</w:t>
      </w:r>
    </w:p>
    <w:p>
      <w:pPr>
        <w:pStyle w:val="ListBullet"/>
        <w:spacing w:after="60"/>
      </w:pPr>
      <w:r>
        <w:rPr>
          <w:rFonts w:ascii="Calibri" w:hAnsi="Calibri"/>
          <w:b w:val="0"/>
          <w:i w:val="0"/>
          <w:color w:val="222222"/>
          <w:sz w:val="22"/>
        </w:rPr>
        <w:t>Say “2027–2032 strategic horizon” (not “five-year strategic period”)</w:t>
      </w:r>
    </w:p>
    <w:p>
      <w:pPr>
        <w:pStyle w:val="ListBullet"/>
        <w:spacing w:after="60"/>
      </w:pPr>
      <w:r>
        <w:rPr>
          <w:rFonts w:ascii="Calibri" w:hAnsi="Calibri"/>
          <w:b w:val="0"/>
          <w:i w:val="0"/>
          <w:color w:val="222222"/>
          <w:sz w:val="22"/>
        </w:rPr>
        <w:t>Say “five-stage transformation journey” (not “five-year journey”)</w:t>
      </w:r>
    </w:p>
    <w:p>
      <w:pPr>
        <w:pStyle w:val="ListBullet"/>
        <w:spacing w:after="60"/>
      </w:pPr>
      <w:r>
        <w:rPr>
          <w:rFonts w:ascii="Calibri" w:hAnsi="Calibri"/>
          <w:b w:val="0"/>
          <w:i w:val="0"/>
          <w:color w:val="222222"/>
          <w:sz w:val="22"/>
        </w:rPr>
        <w:t>Keep stages: 2027 Foundation → 2028 Integration → 2029 Innovation → 2030–2031 Leadership → 2032 Sustainability</w:t>
      </w:r>
    </w:p>
    <w:p>
      <w:pPr>
        <w:pStyle w:val="ListBullet"/>
        <w:spacing w:after="60"/>
      </w:pPr>
      <w:r>
        <w:rPr>
          <w:rFonts w:ascii="Calibri" w:hAnsi="Calibri"/>
          <w:b w:val="0"/>
          <w:i w:val="0"/>
          <w:color w:val="222222"/>
          <w:sz w:val="22"/>
        </w:rPr>
        <w:t>Treat FCHIP/CHIP capabilities as phased/designed unless evidence shows otherwise</w:t>
      </w:r>
    </w:p>
    <w:p>
      <w:pPr>
        <w:pStyle w:val="ListBullet"/>
        <w:spacing w:after="60"/>
      </w:pPr>
      <w:r>
        <w:rPr>
          <w:rFonts w:ascii="Calibri" w:hAnsi="Calibri"/>
          <w:b w:val="0"/>
          <w:i w:val="0"/>
          <w:color w:val="222222"/>
          <w:sz w:val="22"/>
        </w:rPr>
        <w:t>Use URA-registered address and TIN 1053370026 for formal particulars</w:t>
      </w:r>
    </w:p>
    <w:p>
      <w:pPr>
        <w:pStyle w:val="ListBullet"/>
        <w:spacing w:after="60"/>
      </w:pPr>
      <w:r>
        <w:rPr>
          <w:rFonts w:ascii="Calibri" w:hAnsi="Calibri"/>
          <w:b w:val="0"/>
          <w:i w:val="0"/>
          <w:color w:val="222222"/>
          <w:sz w:val="22"/>
        </w:rPr>
        <w:t>Community catchment names describe outreach geography; they are not the registered headquarters address</w:t>
      </w:r>
    </w:p>
    <w:p>
      <w:pPr>
        <w:pageBreakBefore/>
        <w:spacing w:after="160"/>
        <w:jc w:val="center"/>
      </w:pPr>
      <w:r>
        <w:rPr>
          <w:rFonts w:ascii="Calibri" w:hAnsi="Calibri"/>
          <w:b/>
          <w:i w:val="0"/>
          <w:color w:val="1A3A5C"/>
          <w:sz w:val="32"/>
        </w:rPr>
        <w:t>10. Success picture for tracking</w:t>
      </w:r>
    </w:p>
    <w:p>
      <w:pPr>
        <w:spacing w:after="120" w:before="0" w:line="276" w:lineRule="auto"/>
        <w:jc w:val="left"/>
      </w:pPr>
      <w:r>
        <w:rPr>
          <w:rFonts w:ascii="Calibri" w:hAnsi="Calibri"/>
          <w:b w:val="0"/>
          <w:i w:val="0"/>
          <w:color w:val="222222"/>
          <w:sz w:val="22"/>
        </w:rPr>
        <w:t>By the end of the 2027–2032 strategic horizon, FairBanks aims to be recognised for:</w:t>
      </w:r>
    </w:p>
    <w:p>
      <w:pPr>
        <w:pStyle w:val="ListBullet"/>
        <w:spacing w:after="60"/>
      </w:pPr>
      <w:r>
        <w:rPr>
          <w:rFonts w:ascii="Calibri" w:hAnsi="Calibri"/>
          <w:b w:val="0"/>
          <w:i w:val="0"/>
          <w:color w:val="222222"/>
          <w:sz w:val="22"/>
        </w:rPr>
        <w:t>Making significant progress toward becoming Uganda's leading Family &amp; Community Health Social Enterprise</w:t>
      </w:r>
    </w:p>
    <w:p>
      <w:pPr>
        <w:pStyle w:val="ListBullet"/>
        <w:spacing w:after="60"/>
      </w:pPr>
      <w:r>
        <w:rPr>
          <w:rFonts w:ascii="Calibri" w:hAnsi="Calibri"/>
          <w:b w:val="0"/>
          <w:i w:val="0"/>
          <w:color w:val="222222"/>
          <w:sz w:val="22"/>
        </w:rPr>
        <w:t>Trusted integrated healthcare services</w:t>
      </w:r>
    </w:p>
    <w:p>
      <w:pPr>
        <w:pStyle w:val="ListBullet"/>
        <w:spacing w:after="60"/>
      </w:pPr>
      <w:r>
        <w:rPr>
          <w:rFonts w:ascii="Calibri" w:hAnsi="Calibri"/>
          <w:b w:val="0"/>
          <w:i w:val="0"/>
          <w:color w:val="222222"/>
          <w:sz w:val="22"/>
        </w:rPr>
        <w:t>Excellence in community health and preventive care</w:t>
      </w:r>
    </w:p>
    <w:p>
      <w:pPr>
        <w:pStyle w:val="ListBullet"/>
        <w:spacing w:after="60"/>
      </w:pPr>
      <w:r>
        <w:rPr>
          <w:rFonts w:ascii="Calibri" w:hAnsi="Calibri"/>
          <w:b w:val="0"/>
          <w:i w:val="0"/>
          <w:color w:val="222222"/>
          <w:sz w:val="22"/>
        </w:rPr>
        <w:t>Leadership in digital health and community health intelligence</w:t>
      </w:r>
    </w:p>
    <w:p>
      <w:pPr>
        <w:pStyle w:val="ListBullet"/>
        <w:spacing w:after="60"/>
      </w:pPr>
      <w:r>
        <w:rPr>
          <w:rFonts w:ascii="Calibri" w:hAnsi="Calibri"/>
          <w:b w:val="0"/>
          <w:i w:val="0"/>
          <w:color w:val="222222"/>
          <w:sz w:val="22"/>
        </w:rPr>
        <w:t>Respected research and innovation partnership</w:t>
      </w:r>
    </w:p>
    <w:p>
      <w:pPr>
        <w:pStyle w:val="ListBullet"/>
        <w:spacing w:after="60"/>
      </w:pPr>
      <w:r>
        <w:rPr>
          <w:rFonts w:ascii="Calibri" w:hAnsi="Calibri"/>
          <w:b w:val="0"/>
          <w:i w:val="0"/>
          <w:color w:val="222222"/>
          <w:sz w:val="22"/>
        </w:rPr>
        <w:t>Preferred partnership with government, universities, insurers, and development agencies</w:t>
      </w:r>
    </w:p>
    <w:p>
      <w:pPr>
        <w:pStyle w:val="ListBullet"/>
        <w:spacing w:after="60"/>
      </w:pPr>
      <w:r>
        <w:rPr>
          <w:rFonts w:ascii="Calibri" w:hAnsi="Calibri"/>
          <w:b w:val="0"/>
          <w:i w:val="0"/>
          <w:color w:val="222222"/>
          <w:sz w:val="22"/>
        </w:rPr>
        <w:t>Financial sustainability with measurable social impact</w:t>
      </w:r>
    </w:p>
    <w:p>
      <w:pPr>
        <w:spacing w:after="120" w:before="0" w:line="276" w:lineRule="auto"/>
        <w:jc w:val="left"/>
      </w:pPr>
      <w:r>
        <w:rPr>
          <w:rFonts w:ascii="Calibri" w:hAnsi="Calibri"/>
          <w:b w:val="0"/>
          <w:i w:val="0"/>
          <w:color w:val="222222"/>
          <w:sz w:val="22"/>
        </w:rPr>
        <w:t>Track these as MEL outcome themes — not as marketing slogans alone.</w:t>
      </w:r>
    </w:p>
    <w:p>
      <w:pPr>
        <w:pageBreakBefore/>
        <w:spacing w:after="160"/>
        <w:jc w:val="center"/>
      </w:pPr>
      <w:r>
        <w:rPr>
          <w:rFonts w:ascii="Calibri" w:hAnsi="Calibri"/>
          <w:b/>
          <w:i w:val="0"/>
          <w:color w:val="1A3A5C"/>
          <w:sz w:val="32"/>
        </w:rPr>
        <w:t>11. Closing rule</w:t>
      </w:r>
    </w:p>
    <w:p>
      <w:pPr>
        <w:spacing w:after="120" w:before="0" w:line="276" w:lineRule="auto"/>
        <w:jc w:val="left"/>
      </w:pPr>
      <w:r>
        <w:rPr>
          <w:rFonts w:ascii="Calibri" w:hAnsi="Calibri"/>
          <w:b w:val="0"/>
          <w:i w:val="0"/>
          <w:color w:val="222222"/>
          <w:sz w:val="22"/>
        </w:rPr>
        <w:t>When unsure, ask:</w:t>
      </w:r>
    </w:p>
    <w:p>
      <w:pPr>
        <w:pStyle w:val="ListBullet"/>
        <w:spacing w:after="60"/>
      </w:pPr>
      <w:r>
        <w:rPr>
          <w:rFonts w:ascii="Calibri" w:hAnsi="Calibri"/>
          <w:b w:val="0"/>
          <w:i w:val="0"/>
          <w:color w:val="222222"/>
          <w:sz w:val="22"/>
        </w:rPr>
        <w:t>Does the Blueprint already decide this? If yes, implement — do not reopen.</w:t>
      </w:r>
    </w:p>
    <w:p>
      <w:pPr>
        <w:pStyle w:val="ListBullet"/>
        <w:spacing w:after="60"/>
      </w:pPr>
      <w:r>
        <w:rPr>
          <w:rFonts w:ascii="Calibri" w:hAnsi="Calibri"/>
          <w:b w:val="0"/>
          <w:i w:val="0"/>
          <w:color w:val="222222"/>
          <w:sz w:val="22"/>
        </w:rPr>
        <w:t>Are we ready for the next stage by capability, not by calendar? If no, hold the Gate.</w:t>
      </w:r>
    </w:p>
    <w:p>
      <w:pPr>
        <w:pStyle w:val="ListBullet"/>
        <w:spacing w:after="60"/>
      </w:pPr>
      <w:r>
        <w:rPr>
          <w:rFonts w:ascii="Calibri" w:hAnsi="Calibri"/>
          <w:b w:val="0"/>
          <w:i w:val="0"/>
          <w:color w:val="222222"/>
          <w:sz w:val="22"/>
        </w:rPr>
        <w:t>Does this action honour the Covenant and “Your Health, Our Mission”? If no, stop.</w:t>
      </w:r>
    </w:p>
    <w:p>
      <w:pPr>
        <w:spacing w:after="120" w:before="240" w:line="276" w:lineRule="auto"/>
        <w:jc w:val="center"/>
      </w:pPr>
      <w:r>
        <w:rPr>
          <w:rFonts w:ascii="Calibri" w:hAnsi="Calibri"/>
          <w:b w:val="0"/>
          <w:i/>
          <w:color w:val="222222"/>
          <w:sz w:val="22"/>
        </w:rPr>
        <w:t>This Handbook exists so FairBanks can learn, improve, and serve again — with discipline.</w:t>
      </w:r>
    </w:p>
    <w:p>
      <w:pPr>
        <w:spacing w:after="120" w:before="360" w:line="276" w:lineRule="auto"/>
        <w:jc w:val="center"/>
      </w:pPr>
      <w:r>
        <w:rPr>
          <w:rFonts w:ascii="Calibri" w:hAnsi="Calibri"/>
          <w:b w:val="0"/>
          <w:i/>
          <w:color w:val="222222"/>
          <w:sz w:val="18"/>
        </w:rPr>
        <w:t>End of FairBanks Institutional Transformation Handbook v1.0.0</w:t>
      </w:r>
    </w:p>
    <w:p>
      <w:pPr>
        <w:spacing w:after="120" w:before="0" w:line="276" w:lineRule="auto"/>
        <w:jc w:val="center"/>
      </w:pPr>
      <w:r>
        <w:rPr>
          <w:rFonts w:ascii="Calibri" w:hAnsi="Calibri"/>
          <w:b w:val="0"/>
          <w:i/>
          <w:color w:val="222222"/>
          <w:sz w:val="18"/>
        </w:rPr>
        <w:t>Parent: FairBanks Blueprint Founding Edition v1.0.1 Master Freeze</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