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93" w:lineRule="auto"/>
        <w:jc w:val="center"/>
      </w:pPr>
      <w:r>
        <w:rPr>
          <w:rFonts w:ascii="Calibri" w:hAnsi="Calibri" w:eastAsia="Calibri"/>
          <w:b/>
          <w:i w:val="0"/>
          <w:color w:val="0D6E6E"/>
          <w:sz w:val="24"/>
        </w:rPr>
        <w:t>Fund for Innovation in Development (FID) — Call for Proposals 2026</w:t>
      </w:r>
    </w:p>
    <w:p>
      <w:pPr>
        <w:spacing w:after="280" w:before="0" w:line="293" w:lineRule="auto"/>
        <w:jc w:val="center"/>
      </w:pPr>
      <w:r>
        <w:rPr>
          <w:rFonts w:ascii="Calibri" w:hAnsi="Calibri" w:eastAsia="Calibri"/>
          <w:b w:val="0"/>
          <w:i w:val="0"/>
          <w:color w:val="3A4A54"/>
          <w:sz w:val="22"/>
        </w:rPr>
        <w:t>Innovation Proposal</w:t>
      </w:r>
    </w:p>
    <w:p>
      <w:pPr>
        <w:spacing w:after="80" w:before="0" w:line="293" w:lineRule="auto"/>
        <w:jc w:val="center"/>
      </w:pPr>
      <w:r>
        <w:rPr>
          <w:rFonts w:ascii="Calibri" w:hAnsi="Calibri" w:eastAsia="Calibri"/>
          <w:b/>
          <w:i w:val="0"/>
          <w:color w:val="0A1F2E"/>
          <w:sz w:val="48"/>
        </w:rPr>
        <w:t>FairBanks Community Health Intelligence Platform (FCHIP)</w:t>
      </w:r>
    </w:p>
    <w:p>
      <w:pPr>
        <w:spacing w:after="80" w:before="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6"/>
        </w:rPr>
        <w:t>Predictive community health that keeps families out of poverty</w:t>
      </w:r>
    </w:p>
    <w:p>
      <w:pPr>
        <w:spacing w:after="240" w:before="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81138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_cinematic_op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1138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FairBanks Community Reach — Health for All — Obulamu eri Bonna · Afya kwa Wote · Oburamu bwa Boona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76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Applicant</w:t>
            </w:r>
          </w:p>
        </w:tc>
        <w:tc>
          <w:tcPr>
            <w:tcW w:type="dxa" w:w="67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FairBanks Medical Centre / FairBanks Community Reach (social enterprise, Uganda)</w:t>
            </w:r>
          </w:p>
        </w:tc>
      </w:tr>
      <w:tr>
        <w:tc>
          <w:tcPr>
            <w:tcW w:type="dxa" w:w="244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Sectors</w:t>
            </w:r>
          </w:p>
        </w:tc>
        <w:tc>
          <w:tcPr>
            <w:tcW w:type="dxa" w:w="676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Health · Technology &amp; Innovation · Economic Inclusion</w:t>
            </w:r>
          </w:p>
        </w:tc>
      </w:tr>
      <w:tr>
        <w:tc>
          <w:tcPr>
            <w:tcW w:type="dxa" w:w="24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Geography</w:t>
            </w:r>
          </w:p>
        </w:tc>
        <w:tc>
          <w:tcPr>
            <w:tcW w:type="dxa" w:w="67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Uganda (pilot) → East Africa → broader ODA-eligible markets</w:t>
            </w:r>
          </w:p>
        </w:tc>
      </w:tr>
      <w:tr>
        <w:tc>
          <w:tcPr>
            <w:tcW w:type="dxa" w:w="2448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F38"/>
                <w:sz w:val="20"/>
              </w:rPr>
              <w:t>Funding stage</w:t>
            </w:r>
          </w:p>
        </w:tc>
        <w:tc>
          <w:tcPr>
            <w:tcW w:type="dxa" w:w="6768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Requested stage: Pilot Grant (up to €200,000) — pathway to Impact Evaluation &amp; Scale-Up</w:t>
            </w:r>
          </w:p>
        </w:tc>
      </w:tr>
    </w:tbl>
    <w:p/>
    <w:p>
      <w:pPr>
        <w:spacing w:after="40" w:before="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Aligned with the Fund for Innovation in Development Call for Proposals 2026.</w:t>
      </w:r>
    </w:p>
    <w:p>
      <w:pPr>
        <w:spacing w:after="120" w:before="0" w:line="293" w:lineRule="auto"/>
        <w:jc w:val="center"/>
      </w:pPr>
      <w:r>
        <w:rPr>
          <w:rFonts w:ascii="Calibri" w:hAnsi="Calibri" w:eastAsia="Calibri"/>
          <w:b w:val="0"/>
          <w:i w:val="0"/>
          <w:color w:val="0D6E6E"/>
          <w:sz w:val="16"/>
        </w:rPr>
        <w:t>https://opportunitiesforyouth.org/2026/06/12/fid-call-for-proposals-2026-apply-for-up-to-e4-million-to-scale-innovative-solutions-tackling-poverty-and-inequality-worldwide/</w:t>
      </w:r>
    </w:p>
    <w:p>
      <w:r>
        <w:br w:type="page"/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1. Executive Summary</w:t>
      </w:r>
    </w:p>
    <w:p>
      <w:pPr>
        <w:spacing w:after="160" w:before="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In underserved African communities, illness is not only a health problem — it is one of the fastest routes into poverty. When an outbreak, a high-risk pregnancy, or an untreated chronic condition is caught late, families face catastrophic out-of-pocket costs, lost income, and deepening inequality. Today most primary healthcare is reactive: facilities treat patients only after they arrive sick, while the data that could warn everyone earlier sits scattered across community health workers' notebooks, outreach registers, and siloed systems.</w:t>
      </w:r>
    </w:p>
    <w:p>
      <w:pPr>
        <w:spacing w:after="160" w:before="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 Community Health Intelligence Platform (FCHIP) is a deep-technology innovation that turns community-generated health data into early warnings and decision support. Community Health Workers (CHWs) and Village Health Teams (VHTs) capture structured data on offline-capable mobile tools; the platform applies artificial intelligence, machine learning, and GIS mapping to predict disease outbreaks, maternal complications, chronic-disease hotspots, child-health threats, and medicine stock-outs — then routes actionable alerts to CHWs, clinics, districts, insurers, and partners before crises escalate.</w:t>
      </w:r>
    </w:p>
    <w:p>
      <w:pPr>
        <w:spacing w:after="160" w:before="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 is uniquely positioned to test this innovation. We already operate a functioning medical centre and active community outreach across Kampala-area communities (Bukoto, Kyebando, Kisaasi, Kamwokya, and Kikaaya), working with CHWs and VHTs on maternal and child health, geriatric care (Gericare), and chronic-disease screening. This gives us a live, real-world environment to pilot, evaluate, and refine FCHIP — exactly the evidence-first pathway FID is built to fund.</w:t>
      </w:r>
    </w:p>
    <w:p>
      <w:pPr>
        <w:spacing w:after="160" w:before="0" w:line="293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We are applying for a Pilot Grant to validate FCHIP under real-world conditions and generate the early evidence needed to progress toward a rigorous impact evaluation and, ultimately, scale-up across ODA-eligible markets.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2. The Problem: When Illness Deepens Poverty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6616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tive_clinic_op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Reactive care: the system waits for sickness before it responds</w:t>
      </w:r>
    </w:p>
    <w:p>
      <w:pPr>
        <w:spacing w:after="160" w:before="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Across underserved African communities, a structural information gap keeps health systems reactive — and that gap has a direct poverty and inequality cost.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0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Current reality</w:t>
            </w:r>
          </w:p>
        </w:tc>
        <w:tc>
          <w:tcPr>
            <w:tcW w:type="dxa" w:w="460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Consequence</w:t>
            </w:r>
          </w:p>
        </w:tc>
      </w:tr>
      <w:tr>
        <w:tc>
          <w:tcPr>
            <w:tcW w:type="dxa" w:w="460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Care starts only after people fall sick</w:t>
            </w:r>
          </w:p>
        </w:tc>
        <w:tc>
          <w:tcPr>
            <w:tcW w:type="dxa" w:w="460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Late detection of outbreaks and complications; higher treatment costs</w:t>
            </w:r>
          </w:p>
        </w:tc>
      </w:tr>
      <w:tr>
        <w:tc>
          <w:tcPr>
            <w:tcW w:type="dxa" w:w="460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Community data sits in paper registers and silos</w:t>
            </w:r>
          </w:p>
        </w:tc>
        <w:tc>
          <w:tcPr>
            <w:tcW w:type="dxa" w:w="460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Districts, NGOs, and insurers lack real-time intelligence</w:t>
            </w:r>
          </w:p>
        </w:tc>
      </w:tr>
      <w:tr>
        <w:tc>
          <w:tcPr>
            <w:tcW w:type="dxa" w:w="460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High-risk pregnancies and NCDs found late</w:t>
            </w:r>
          </w:p>
        </w:tc>
        <w:tc>
          <w:tcPr>
            <w:tcW w:type="dxa" w:w="460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Preventable maternal deaths and stroke/diabetes burden</w:t>
            </w:r>
          </w:p>
        </w:tc>
      </w:tr>
      <w:tr>
        <w:tc>
          <w:tcPr>
            <w:tcW w:type="dxa" w:w="460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Medicine ordered on guesswork</w:t>
            </w:r>
          </w:p>
        </w:tc>
        <w:tc>
          <w:tcPr>
            <w:tcW w:type="dxa" w:w="460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Stock-outs during seasonal disease surges</w:t>
            </w:r>
          </w:p>
        </w:tc>
      </w:tr>
      <w:tr>
        <w:tc>
          <w:tcPr>
            <w:tcW w:type="dxa" w:w="4608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F38"/>
                <w:sz w:val="20"/>
              </w:rPr>
              <w:t>Health shocks hit poor households hardest</w:t>
            </w:r>
          </w:p>
        </w:tc>
        <w:tc>
          <w:tcPr>
            <w:tcW w:type="dxa" w:w="4608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Catastrophic spending pushes families deeper into poverty</w:t>
            </w:r>
          </w:p>
        </w:tc>
      </w:tr>
    </w:tbl>
    <w:p/>
    <w:p>
      <w:pPr>
        <w:spacing w:after="160" w:before="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Existing digital tools — appointment booking, EMR digitisation, SMS reminders — rarely combine multi-source community data, predictive modelling, geospatial mapping, and real-time decision support. The result is fragmented data, delayed response, and missed prevention.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3. The Innovation: FCHIP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iso_labeled_op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Community signals → mobile capture → FCHIP intelligence → action</w:t>
      </w:r>
    </w:p>
    <w:p>
      <w:pPr>
        <w:spacing w:after="160" w:before="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FCHIP is a deep-technology platform that turns community-generated health data into predictions and decision support. It sits between last-mile data capture and the people who can act — CHWs, clinics, districts, insurers, and partners.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D6E6E"/>
          <w:sz w:val="28"/>
        </w:rPr>
        <w:t>3.1 Deep technology 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604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Function in FCHIP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Artificial Intelligence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Outbreak early warning; maternal and NCD risk scoring</w:t>
            </w:r>
          </w:p>
        </w:tc>
      </w:tr>
      <w:tr>
        <w:tc>
          <w:tcPr>
            <w:tcW w:type="dxa" w:w="316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Machine Learning</w:t>
            </w:r>
          </w:p>
        </w:tc>
        <w:tc>
          <w:tcPr>
            <w:tcW w:type="dxa" w:w="604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Pattern learning from community data, seasonal trends, outreach outcomes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GIS Mapping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Disease distribution, hotspots, and resource-gap visualisation</w:t>
            </w:r>
          </w:p>
        </w:tc>
      </w:tr>
      <w:tr>
        <w:tc>
          <w:tcPr>
            <w:tcW w:type="dxa" w:w="316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Mobile Data Collection</w:t>
            </w:r>
          </w:p>
        </w:tc>
        <w:tc>
          <w:tcPr>
            <w:tcW w:type="dxa" w:w="604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Offline-capable CHW/VHT capture at household level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Cloud Computing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Secure sync across facilities, partners, administrative levels</w:t>
            </w:r>
          </w:p>
        </w:tc>
      </w:tr>
      <w:tr>
        <w:tc>
          <w:tcPr>
            <w:tcW w:type="dxa" w:w="3168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F38"/>
                <w:sz w:val="20"/>
              </w:rPr>
              <w:t>Analytics &amp; NLP</w:t>
            </w:r>
          </w:p>
        </w:tc>
        <w:tc>
          <w:tcPr>
            <w:tcW w:type="dxa" w:w="6048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Live dashboards; local-language symptom capture where useful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0D6E6E"/>
          <w:sz w:val="28"/>
        </w:rPr>
        <w:t>3.2 Predictive use cases</w:t>
      </w:r>
    </w:p>
    <w:p>
      <w:pPr>
        <w:spacing w:after="80" w:before="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Disease surveillance: Rising fever reports across neighbouring villages → predicted malaria surge → targeted testing, bed-nets, and pharmacy pre-stocking.</w:t>
      </w:r>
    </w:p>
    <w:p>
      <w:pPr>
        <w:spacing w:after="80" w:before="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Maternal health: Home-visit BP, anaemia proxies, and ANC adherence → high-risk pregnancy flags → early CHW alerts and referral.</w:t>
      </w:r>
    </w:p>
    <w:p>
      <w:pPr>
        <w:spacing w:after="80" w:before="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Non-communicable diseases: Community and workplace BP/glucose screening → hypertension and diabetes hotspots → targeted campaigns.</w:t>
      </w:r>
    </w:p>
    <w:p>
      <w:pPr>
        <w:spacing w:after="80" w:before="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Child health: Growth, immunisation, and diarrhoea data → malnutrition and coverage-gap alerts → nutrition and immunisation drives.</w:t>
      </w:r>
    </w:p>
    <w:p>
      <w:pPr>
        <w:spacing w:after="80" w:before="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Medicine demand: Disease trends, rainfall, and consumption → demand forecasts → replenishment before stock-outs.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4. Theory of Change</w:t>
      </w:r>
    </w:p>
    <w:p>
      <w:pPr>
        <w:spacing w:after="160" w:before="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FID funds innovations with a clear, testable theory of change. Ours links a health innovation directly to poverty and inequality reduction: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7200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016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Inputs</w:t>
            </w:r>
          </w:p>
        </w:tc>
        <w:tc>
          <w:tcPr>
            <w:tcW w:type="dxa" w:w="720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FID Pilot Grant; FairBanks live operations; CHW/VHT networks; mobile + cloud + AI stack.</w:t>
            </w:r>
          </w:p>
        </w:tc>
      </w:tr>
      <w:tr>
        <w:tc>
          <w:tcPr>
            <w:tcW w:type="dxa" w:w="2016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Activities</w:t>
            </w:r>
          </w:p>
        </w:tc>
        <w:tc>
          <w:tcPr>
            <w:tcW w:type="dxa" w:w="720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Build offline capture app, cloud pipeline, AI risk models, GIS layer, and dashboards; train CHWs; run pilot.</w:t>
            </w:r>
          </w:p>
        </w:tc>
      </w:tr>
      <w:tr>
        <w:tc>
          <w:tcPr>
            <w:tcW w:type="dxa" w:w="2016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Outputs</w:t>
            </w:r>
          </w:p>
        </w:tc>
        <w:tc>
          <w:tcPr>
            <w:tcW w:type="dxa" w:w="720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Structured community health data; predictive alerts; facility/district dashboards; referrals triggered.</w:t>
            </w:r>
          </w:p>
        </w:tc>
      </w:tr>
      <w:tr>
        <w:tc>
          <w:tcPr>
            <w:tcW w:type="dxa" w:w="2016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Outcomes</w:t>
            </w:r>
          </w:p>
        </w:tc>
        <w:tc>
          <w:tcPr>
            <w:tcW w:type="dxa" w:w="720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Earlier detection and referral; fewer missed high-risk cases; fewer stock-outs; better-targeted outreach.</w:t>
            </w:r>
          </w:p>
        </w:tc>
      </w:tr>
      <w:tr>
        <w:tc>
          <w:tcPr>
            <w:tcW w:type="dxa" w:w="2016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F38"/>
                <w:sz w:val="20"/>
              </w:rPr>
              <w:t>Impact</w:t>
            </w:r>
          </w:p>
        </w:tc>
        <w:tc>
          <w:tcPr>
            <w:tcW w:type="dxa" w:w="7200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Reduced preventable illness and health-driven poverty; lower inequality for underserved communities.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5. Evidence of Impact &amp; Evaluation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560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s_hotspots_op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GIS hotspot mapping — measurable, testable early-warning outputs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Existing evidence: CHW/mHealth programmes and community-based early warning have documented gains in maternal, child, and communicable-disease outcomes across sub-Saharan Africa; FCHIP builds on this base by adding predictive intelligence across multiple data sources.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Baseline data: FairBanks outreach screening, maternal programmes, pharmacy dispensing, and facility encounters already generate the signals needed to establish a credible pre-intervention baseline.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Measurable outcomes: alert accuracy, time-to-referral, proportion of high-risk pregnancies identified early, immunisation and screening coverage, and stock-out frequency.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Evaluation pathway: the pilot is designed so that a subsequent counterfactual impact evaluation (comparison communities) can rigorously test effect sizes — the qualifying step toward FID's Impact Evaluation and Scale-Up stages.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6. Cost &amp; Cost-Effectiveness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Builds on assets that already exist — a live medical centre, trained CHW/VHT networks, and outreach programmes — so the pilot avoids the cost of standing up field operations from scratch.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Offline-first, mobile-based capture keeps hardware and connectivity costs low and works in low-bandwidth settings.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Prevention is cheaper than late treatment: early detection of outbreaks, maternal risk, and NCDs reduces costly emergency care and lost livelihoods.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A shared platform serves many users (CHWs, clinics, districts, insurers), spreading cost and improving cost per beneficiary as coverage grows.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7. Scale &amp; Financial Sustainability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560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demo_op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A shared intelligence layer that scales across many users and districts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Technical scalability: cloud architecture and standard mobile tools extend from one catchment to many districts without redesign.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Model portability: CHW/VHT systems exist across Uganda and much of Africa, so the approach transfers to other ODA-eligible markets.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Financial sustainability: diversified revenue — clinic/hospital subscriptions, district and Ministry of Health deployments, NGO programme monitoring, insurer analytics, and partner APIs — reduces reliance on grants over time.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Policy pathway: evidence generated in the pilot supports integration into public health planning and district decision-making, aligning with FID's public-policy funding streams.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8. Why FairBanks — Traction &amp; Foundation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facilitator_canopy_01_op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Live FairBanks Community Reach outreach in Kampala communities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Functioning FairBanks Medical Centre with direct patient and community access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Active Community Reach outreach in Bukoto, Kyebando, Kisaasi, Kamwokya, Kikaaya, and surrounding areas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Established CHW and VHT relationships and trust in target communities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Live programmes: maternal &amp; child health, Gericare, chronic-disease screening, corporate &amp; school health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Digital health records foundation and pharmacy operations already generating data signals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Research and community partnerships that support ethical data use and evaluation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9. Implementation Plan &amp; Budget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D6E6E"/>
          <w:sz w:val="28"/>
        </w:rPr>
        <w:t>9.1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172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Timeline</w:t>
            </w:r>
          </w:p>
        </w:tc>
        <w:tc>
          <w:tcPr>
            <w:tcW w:type="dxa" w:w="4752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Milestones</w:t>
            </w:r>
          </w:p>
        </w:tc>
      </w:tr>
      <w:tr>
        <w:tc>
          <w:tcPr>
            <w:tcW w:type="dxa" w:w="2736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Phase 1 — Pilot</w:t>
            </w:r>
          </w:p>
        </w:tc>
        <w:tc>
          <w:tcPr>
            <w:tcW w:type="dxa" w:w="172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0–12 mo</w:t>
            </w:r>
          </w:p>
        </w:tc>
        <w:tc>
          <w:tcPr>
            <w:tcW w:type="dxa" w:w="4752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MVP live with FairBanks CHWs/VHTs; validate 3 use cases; establish baseline</w:t>
            </w:r>
          </w:p>
        </w:tc>
      </w:tr>
      <w:tr>
        <w:tc>
          <w:tcPr>
            <w:tcW w:type="dxa" w:w="2736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Phase 2 — Impact evaluation prep</w:t>
            </w:r>
          </w:p>
        </w:tc>
        <w:tc>
          <w:tcPr>
            <w:tcW w:type="dxa" w:w="172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12–18 mo</w:t>
            </w:r>
          </w:p>
        </w:tc>
        <w:tc>
          <w:tcPr>
            <w:tcW w:type="dxa" w:w="4752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Counterfactual design; comparison communities; measurement framework</w:t>
            </w:r>
          </w:p>
        </w:tc>
      </w:tr>
      <w:tr>
        <w:tc>
          <w:tcPr>
            <w:tcW w:type="dxa" w:w="2736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Phase 3 — District scale</w:t>
            </w:r>
          </w:p>
        </w:tc>
        <w:tc>
          <w:tcPr>
            <w:tcW w:type="dxa" w:w="172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18–36 mo</w:t>
            </w:r>
          </w:p>
        </w:tc>
        <w:tc>
          <w:tcPr>
            <w:tcW w:type="dxa" w:w="4752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Partner clinics and district structures; NGO/insurer modules; APIs</w:t>
            </w:r>
          </w:p>
        </w:tc>
      </w:tr>
      <w:tr>
        <w:tc>
          <w:tcPr>
            <w:tcW w:type="dxa" w:w="2736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F38"/>
                <w:sz w:val="20"/>
              </w:rPr>
              <w:t>Phase 4 — Scale-up</w:t>
            </w:r>
          </w:p>
        </w:tc>
        <w:tc>
          <w:tcPr>
            <w:tcW w:type="dxa" w:w="1728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Year 3+</w:t>
            </w:r>
          </w:p>
        </w:tc>
        <w:tc>
          <w:tcPr>
            <w:tcW w:type="dxa" w:w="4752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Multi-district Uganda; East Africa entry; policy integration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0D6E6E"/>
          <w:sz w:val="28"/>
        </w:rPr>
        <w:t>9.2 Indicative pilot budget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Budget line</w:t>
            </w:r>
          </w:p>
        </w:tc>
        <w:tc>
          <w:tcPr>
            <w:tcW w:type="dxa" w:w="4752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Detail</w:t>
            </w:r>
          </w:p>
        </w:tc>
        <w:tc>
          <w:tcPr>
            <w:tcW w:type="dxa" w:w="1584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288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Product &amp; engineering</w:t>
            </w:r>
          </w:p>
        </w:tc>
        <w:tc>
          <w:tcPr>
            <w:tcW w:type="dxa" w:w="4752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Mobile capture app, cloud pipeline, AI/GIS modules, dashboards</w:t>
            </w:r>
          </w:p>
        </w:tc>
        <w:tc>
          <w:tcPr>
            <w:tcW w:type="dxa" w:w="1584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€70,000</w:t>
            </w:r>
          </w:p>
        </w:tc>
      </w:tr>
      <w:tr>
        <w:tc>
          <w:tcPr>
            <w:tcW w:type="dxa" w:w="288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Field pilot &amp; CHW training</w:t>
            </w:r>
          </w:p>
        </w:tc>
        <w:tc>
          <w:tcPr>
            <w:tcW w:type="dxa" w:w="4752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CHW/VHT onboarding, devices, supervision, community engagement</w:t>
            </w:r>
          </w:p>
        </w:tc>
        <w:tc>
          <w:tcPr>
            <w:tcW w:type="dxa" w:w="1584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€45,000</w:t>
            </w:r>
          </w:p>
        </w:tc>
      </w:tr>
      <w:tr>
        <w:tc>
          <w:tcPr>
            <w:tcW w:type="dxa" w:w="288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Data, evaluation &amp; M&amp;E</w:t>
            </w:r>
          </w:p>
        </w:tc>
        <w:tc>
          <w:tcPr>
            <w:tcW w:type="dxa" w:w="4752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Baseline, monitoring, evaluation design toward counterfactual study</w:t>
            </w:r>
          </w:p>
        </w:tc>
        <w:tc>
          <w:tcPr>
            <w:tcW w:type="dxa" w:w="1584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€35,000</w:t>
            </w:r>
          </w:p>
        </w:tc>
      </w:tr>
      <w:tr>
        <w:tc>
          <w:tcPr>
            <w:tcW w:type="dxa" w:w="288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Data governance &amp; compliance</w:t>
            </w:r>
          </w:p>
        </w:tc>
        <w:tc>
          <w:tcPr>
            <w:tcW w:type="dxa" w:w="4752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Consent, anonymisation, Uganda Data Protection alignment</w:t>
            </w:r>
          </w:p>
        </w:tc>
        <w:tc>
          <w:tcPr>
            <w:tcW w:type="dxa" w:w="1584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€15,000</w:t>
            </w:r>
          </w:p>
        </w:tc>
      </w:tr>
      <w:tr>
        <w:tc>
          <w:tcPr>
            <w:tcW w:type="dxa" w:w="288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Project management &amp; operations</w:t>
            </w:r>
          </w:p>
        </w:tc>
        <w:tc>
          <w:tcPr>
            <w:tcW w:type="dxa" w:w="4752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Coordination, reporting, partnerships, contingency</w:t>
            </w:r>
          </w:p>
        </w:tc>
        <w:tc>
          <w:tcPr>
            <w:tcW w:type="dxa" w:w="1584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€35,000</w:t>
            </w:r>
          </w:p>
        </w:tc>
      </w:tr>
      <w:tr>
        <w:tc>
          <w:tcPr>
            <w:tcW w:type="dxa" w:w="2880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F38"/>
                <w:sz w:val="20"/>
              </w:rPr>
              <w:t>Total (indicative Pilot Grant)</w:t>
            </w:r>
          </w:p>
        </w:tc>
        <w:tc>
          <w:tcPr>
            <w:tcW w:type="dxa" w:w="4752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</w:r>
          </w:p>
        </w:tc>
        <w:tc>
          <w:tcPr>
            <w:tcW w:type="dxa" w:w="1584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€200,000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10. Alignment with FID &amp; the SDGs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0D6E6E"/>
          <w:sz w:val="28"/>
        </w:rPr>
        <w:t>10.1 FID evaluation criteria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FID criterion</w:t>
            </w:r>
          </w:p>
        </w:tc>
        <w:tc>
          <w:tcPr>
            <w:tcW w:type="dxa" w:w="604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How FCHIP responds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Evidence of impact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Clear theory of change, baseline data, and a pathway to counterfactual evaluation</w:t>
            </w:r>
          </w:p>
        </w:tc>
      </w:tr>
      <w:tr>
        <w:tc>
          <w:tcPr>
            <w:tcW w:type="dxa" w:w="316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Cost &amp; cost-effectiveness</w:t>
            </w:r>
          </w:p>
        </w:tc>
        <w:tc>
          <w:tcPr>
            <w:tcW w:type="dxa" w:w="604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Builds on existing assets; prevention reduces costly late treatment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Scale &amp; sustainability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Portable model; diversified revenue; policy-integration pathway</w:t>
            </w:r>
          </w:p>
        </w:tc>
      </w:tr>
      <w:tr>
        <w:tc>
          <w:tcPr>
            <w:tcW w:type="dxa" w:w="3168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F38"/>
                <w:sz w:val="20"/>
              </w:rPr>
              <w:t>Poverty &amp; inequality focus</w:t>
            </w:r>
          </w:p>
        </w:tc>
        <w:tc>
          <w:tcPr>
            <w:tcW w:type="dxa" w:w="6048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Targets underserved communities where health shocks drive poverty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0D6E6E"/>
          <w:sz w:val="28"/>
        </w:rPr>
        <w:t>10.2 Sustainable Development Goals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744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SDG</w:t>
            </w:r>
          </w:p>
        </w:tc>
        <w:tc>
          <w:tcPr>
            <w:tcW w:type="dxa" w:w="5472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FCHIP contribution</w:t>
            </w:r>
          </w:p>
        </w:tc>
      </w:tr>
      <w:tr>
        <w:tc>
          <w:tcPr>
            <w:tcW w:type="dxa" w:w="3744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SDG 1 — No Poverty</w:t>
            </w:r>
          </w:p>
        </w:tc>
        <w:tc>
          <w:tcPr>
            <w:tcW w:type="dxa" w:w="5472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Prevents health-shock-driven catastrophic spending and lost income</w:t>
            </w:r>
          </w:p>
        </w:tc>
      </w:tr>
      <w:tr>
        <w:tc>
          <w:tcPr>
            <w:tcW w:type="dxa" w:w="3744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SDG 3 — Good Health &amp; Well-Being</w:t>
            </w:r>
          </w:p>
        </w:tc>
        <w:tc>
          <w:tcPr>
            <w:tcW w:type="dxa" w:w="5472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Predictive community health; maternal/child/NCD focus</w:t>
            </w:r>
          </w:p>
        </w:tc>
      </w:tr>
      <w:tr>
        <w:tc>
          <w:tcPr>
            <w:tcW w:type="dxa" w:w="3744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SDG 5 — Gender Equality</w:t>
            </w:r>
          </w:p>
        </w:tc>
        <w:tc>
          <w:tcPr>
            <w:tcW w:type="dxa" w:w="5472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Women-led venture; maternal health intelligence</w:t>
            </w:r>
          </w:p>
        </w:tc>
      </w:tr>
      <w:tr>
        <w:tc>
          <w:tcPr>
            <w:tcW w:type="dxa" w:w="3744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SDG 10 — Reduced Inequalities</w:t>
            </w:r>
          </w:p>
        </w:tc>
        <w:tc>
          <w:tcPr>
            <w:tcW w:type="dxa" w:w="5472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Intelligence and care for underserved communities</w:t>
            </w:r>
          </w:p>
        </w:tc>
      </w:tr>
      <w:tr>
        <w:tc>
          <w:tcPr>
            <w:tcW w:type="dxa" w:w="3744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F38"/>
                <w:sz w:val="20"/>
              </w:rPr>
              <w:t>SDG 17 — Partnerships</w:t>
            </w:r>
          </w:p>
        </w:tc>
        <w:tc>
          <w:tcPr>
            <w:tcW w:type="dxa" w:w="5472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Government, NGO, insurer, and academic collaboration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11. Risks &amp; Mitigation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5760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456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Data quality from field capture</w:t>
            </w:r>
          </w:p>
        </w:tc>
        <w:tc>
          <w:tcPr>
            <w:tcW w:type="dxa" w:w="576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Structured forms, validation rules, CHW training and supervision</w:t>
            </w:r>
          </w:p>
        </w:tc>
      </w:tr>
      <w:tr>
        <w:tc>
          <w:tcPr>
            <w:tcW w:type="dxa" w:w="3456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Low CHW digital literacy</w:t>
            </w:r>
          </w:p>
        </w:tc>
        <w:tc>
          <w:tcPr>
            <w:tcW w:type="dxa" w:w="576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Simple offline UX, local-language support, supervised rollout via VHTs</w:t>
            </w:r>
          </w:p>
        </w:tc>
      </w:tr>
      <w:tr>
        <w:tc>
          <w:tcPr>
            <w:tcW w:type="dxa" w:w="3456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Privacy and consent</w:t>
            </w:r>
          </w:p>
        </w:tc>
        <w:tc>
          <w:tcPr>
            <w:tcW w:type="dxa" w:w="576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Ethical governance, anonymisation, Uganda Data Protection compliance</w:t>
            </w:r>
          </w:p>
        </w:tc>
      </w:tr>
      <w:tr>
        <w:tc>
          <w:tcPr>
            <w:tcW w:type="dxa" w:w="3456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Early model accuracy</w:t>
            </w:r>
          </w:p>
        </w:tc>
        <w:tc>
          <w:tcPr>
            <w:tcW w:type="dxa" w:w="576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Start rule-based + limited ML; validate against FairBanks clinical outcomes</w:t>
            </w:r>
          </w:p>
        </w:tc>
      </w:tr>
      <w:tr>
        <w:tc>
          <w:tcPr>
            <w:tcW w:type="dxa" w:w="3456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F38"/>
                <w:sz w:val="20"/>
              </w:rPr>
              <w:t>Public-sector adoption</w:t>
            </w:r>
          </w:p>
        </w:tc>
        <w:tc>
          <w:tcPr>
            <w:tcW w:type="dxa" w:w="5760"/>
            <w:shd w:fill="E8F0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Pilot evidence; district co-design; alignment with MoH community health strategy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12. Conclusion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audience_full_group_01_op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From community signals to life-saving, poverty-reducing predictions</w:t>
      </w:r>
    </w:p>
    <w:p>
      <w:pPr>
        <w:spacing w:after="160" w:before="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FCHIP is an evidence-first innovation that fits the FID model precisely: a promising solution, ready to be tested in a real-world setting, with a clear pathway from pilot to rigorous evaluation and scale. By catching health risks before they become crises, FairBanks helps underserved families avoid the catastrophic costs that trap them in poverty — a genuine win for communities and for development.</w:t>
      </w:r>
    </w:p>
    <w:p>
      <w:pPr>
        <w:spacing w:after="160" w:before="16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spacing w:after="160" w:before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6"/>
        </w:rPr>
        <w:t>Proposal aligned with the FID Call for Proposals 2026. Source: https://opportunitiesforyouth.org/2026/06/12/fid-call-for-proposals-2026-apply-for-up-to-e4-million-to-scale-innovative-solutions-tackling-poverty-and-inequality-worldwide/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