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World Bank GovTech Innovation Challenge 2026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GovTech Readiness Brief — District Health Intelligence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24"/>
        </w:rPr>
        <w:t>Monitoring for matching challenges · ready PoC partner when health calls open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Health for All — Obulamu eri Bonna · Afya kwa Wote · Oburamu bwa Boona</w:t>
      </w:r>
    </w:p>
    <w:p>
      <w:pPr>
        <w:spacing w:after="40" w:line="293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0"/>
        </w:rPr>
        <w:t>Challenge deadlines vary — we submit only for health / Africa-aligned use cases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https://opportunitiesforyouth.org/2026/07/10/world-bank-govtech-innovation-challenge-2026-global-call-for-proposals-to-build-digital-solutions-for-governments/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Readiness brief summary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World Bank GovTech Innovation Challenge connects technology companies with government digitalisation needs — offering capacity building, a Switzerland bootcamp, and proof-of-concept work with government partners.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maintains this readiness brief because current open challenges may focus elsewhere (for example public-finance audit use cases in Morocco). We do not pretend those are our target. When a health or Africa-aligned challenge appears, we can move fast with a district health intelligence proof-of-concept rooted in live operations.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How we monitor GovTech challenges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review World Bank GovTech challenge pages weekly. We track new calls for district health, community data, CHW systems, or African government digitalisation partners.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submit tailored proposals only when the use case matches — protecting evaluator time and our own credibility. This pack is a baseline, not a blind submission to unrelated audit challenges.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District health intelligence PoC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District health intelligence — community to government dashboards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 offers a GovTech-ready pattern: secure community capture on offline-capable mobile tools; cloud sync and validation; analytics and GIS hotspot views; role-based dashboards co-designed with district health managers; configurable early-warning alerts aligned to local protocols.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PoC measures decision-cycle gains — how fast managers see coverage gaps, respond to signals, and improve CHW data quality for government reporting.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What we are not applying for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/>
          <w:color w:val="3A4A54"/>
          <w:sz w:val="22"/>
        </w:rPr>
        <w:t>We respect the programme by staying in our lane.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Open Moroccan public-finance audit challenges are not FairBanks' domain. We will not repurpose a community health narrative to fit unrelated audit software requirements.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Our value is district health intelligence from an operator that already runs clinic and community programmes — not a generic vendor stretching into every challenge category.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FCHIP architecture for government partners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District health intelligence — community to government dashboards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Community Health Intelligence Platform sits on the community cascade: members identify needs; CHWs/VHTs bridge homes to care; outreach programmes deliver services; the medical centre provides clinical care; research and partnerships strengthen the system; livelihoods make gains last.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For government partners, FCHIP complements national systems — feeding cleaner CHW data, early warnings, and facility decision support without replacing existing EMR or DHIS2 investments where interoperability is preferred.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PoC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Community capture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Offline CHW/VHT forms with validation rules</w:t>
            </w:r>
          </w:p>
        </w:tc>
      </w:tr>
      <w:tr>
        <w:tc>
          <w:tcPr>
            <w:tcW w:type="dxa" w:w="316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Data pipeline</w:t>
            </w:r>
          </w:p>
        </w:tc>
        <w:tc>
          <w:tcPr>
            <w:tcW w:type="dxa" w:w="604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Secure sync, anonymisation, and quality dashboards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GIS layer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Hotspot maps for managers and partners</w:t>
            </w:r>
          </w:p>
        </w:tc>
      </w:tr>
      <w:tr>
        <w:tc>
          <w:tcPr>
            <w:tcW w:type="dxa" w:w="316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Alerts</w:t>
            </w:r>
          </w:p>
        </w:tc>
        <w:tc>
          <w:tcPr>
            <w:tcW w:type="dxa" w:w="6048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Configurable early warnings aligned to local protocols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Handover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Documentation and training for sustained use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7. Monitor → match → co-design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6912"/>
            <w:shd w:fill="0D6E6E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Weekly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Scan GovTech challenge pages for health / Africa digital-government calls</w:t>
            </w:r>
          </w:p>
        </w:tc>
      </w:tr>
      <w:tr>
        <w:tc>
          <w:tcPr>
            <w:tcW w:type="dxa" w:w="230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Match gate</w:t>
            </w:r>
          </w:p>
        </w:tc>
        <w:tc>
          <w:tcPr>
            <w:tcW w:type="dxa" w:w="691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Submit only when use case aligns with district health intelligence PoC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If selected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Attend capacity building / Switzerland bootcamp as offered</w:t>
            </w:r>
          </w:p>
        </w:tc>
      </w:tr>
      <w:tr>
        <w:tc>
          <w:tcPr>
            <w:tcW w:type="dxa" w:w="2304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Co-design</w:t>
            </w:r>
          </w:p>
        </w:tc>
        <w:tc>
          <w:tcPr>
            <w:tcW w:type="dxa" w:w="6912"/>
            <w:shd w:fill="F7F5F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Work with government partner on scoped PoC and success metrics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Measure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Track decision-cycle time, data quality, and manager usability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8. Field 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canopy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Live FairBanks Community Reach — not a slide-deck-only vendor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Medical Centre with clinic, pharmacy, and diagnostics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CHW/VHT outreach in Kampala-area communities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Maternal, child, chronic, and geriatric programmes generating data signals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Team prepared for capacity building and bootcamp if a matching challenge selects us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9. Mutual value with GovTech partners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FairBanks gains: Government PoC pathways; World Bank / SECO ecosystem visibility; learning that hardens FCHIP for public-sector deployment; bootcamp access if selected.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GovTech programme gains: Vendor that runs clinic and community operations — not only software; health intelligence use cases governments need; African implementer ready for co-design; reusable PoC patterns for district health offices.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10. Readiness statement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GovTech works when government problems meet operators who already serve people. FairBanks is ready when the right health or Africa digital-government challenge opens.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ask to be considered for matching challenges — not to force-fit unrelated audit use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District intelligence ready for the right GovTech call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https://opportunitiesforyouth.org/2026/07/10/world-bank-govtech-innovation-challenge-2026-global-call-for-proposals-to-build-digital-solutions-for-governments/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