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  <w:jc w:val="center"/>
      </w:pPr>
      <w:r>
        <w:rPr>
          <w:rFonts w:ascii="Calibri" w:hAnsi="Calibri"/>
          <w:b/>
          <w:i w:val="0"/>
          <w:color w:val="0F2C4C"/>
          <w:sz w:val="46"/>
          <w:rFonts w:ascii="Calibri" w:hAnsi="Calibri" w:cs="Calibri"/>
          <w:spacing w:val="36"/>
        </w:rPr>
        <w:t>WASSWA WILSON</w:t>
      </w:r>
    </w:p>
    <w:p>
      <w:pPr>
        <w:spacing w:before="0" w:after="100" w:line="254" w:lineRule="auto"/>
        <w:jc w:val="center"/>
      </w:pPr>
      <w:r>
        <w:rPr>
          <w:rFonts w:ascii="Calibri" w:hAnsi="Calibri"/>
          <w:b/>
          <w:i w:val="0"/>
          <w:color w:val="1A6B5C"/>
          <w:sz w:val="20"/>
          <w:rFonts w:ascii="Calibri" w:hAnsi="Calibri" w:cs="Calibri"/>
        </w:rPr>
        <w:t>Biomedical Engineer  ·  Full-Stack Software Developer  ·  Health Technology Programme Lead</w:t>
      </w:r>
    </w:p>
    <w:p>
      <w:pPr>
        <w:spacing w:before="0" w:after="30" w:line="254" w:lineRule="auto"/>
        <w:jc w:val="center"/>
      </w:pPr>
      <w:r>
        <w:rPr>
          <w:rFonts w:ascii="Calibri" w:hAnsi="Calibri"/>
          <w:b w:val="0"/>
          <w:i w:val="0"/>
          <w:color w:val="5A6472"/>
          <w:sz w:val="18"/>
          <w:rFonts w:ascii="Calibri" w:hAnsi="Calibri" w:cs="Calibri"/>
        </w:rPr>
        <w:t>Kampala, Uganda   ·   Available for regional and remote engagements</w:t>
      </w:r>
    </w:p>
    <w:p>
      <w:pPr>
        <w:spacing w:before="0" w:after="30" w:line="254" w:lineRule="auto"/>
        <w:jc w:val="center"/>
      </w:pPr>
      <w:r>
        <w:rPr>
          <w:rFonts w:ascii="Calibri" w:hAnsi="Calibri"/>
          <w:b w:val="0"/>
          <w:i w:val="0"/>
          <w:color w:val="5A6472"/>
          <w:sz w:val="18"/>
          <w:rFonts w:ascii="Calibri" w:hAnsi="Calibri" w:cs="Calibri"/>
        </w:rPr>
        <w:t>wasswawilson0002@gmail.com   ·   +256 753 113 200   ·   +256 783 230 321</w:t>
      </w:r>
    </w:p>
    <w:p>
      <w:pPr>
        <w:spacing w:before="0" w:after="0" w:line="254" w:lineRule="auto"/>
        <w:jc w:val="center"/>
        <w:pBdr>
          <w:bottom w:val="single" w:sz="12" w:space="6" w:color="0F2C4C"/>
        </w:pBdr>
      </w:pPr>
      <w:r>
        <w:rPr>
          <w:rFonts w:ascii="Calibri" w:hAnsi="Calibri"/>
          <w:b w:val="0"/>
          <w:i w:val="0"/>
          <w:color w:val="5A6472"/>
          <w:sz w:val="18"/>
          <w:rFonts w:ascii="Calibri" w:hAnsi="Calibri" w:cs="Calibri"/>
        </w:rPr>
        <w:t>English (fluent, professional working proficiency)   ·   Luganda (native)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PROFESSIONAL PROFILE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Biomedical engineer and full-stack software developer with over nine years of professional experience spanning hospital technology, health information systems and applied software engineering. I currently lead development of the FairBanks Community Health Intelligence Platform (FCHIP), owning the data capture tools, database design, cloud data flows and management dashboards end to end. Before that I managed the Gould Family Foundation biomedical programme across East and Central Africa and ran the biomedical function at International Hospital Kampala through successful COHSASA accreditation. I build in Java, Python, JavaScript and TypeScript across React, Next.js, React Native, Node.js and Express, and I design AI agents and automation pipelines that are running in production today. I am equally comfortable commissioning equipment on a hospital floor, architecting a codebase, and writing the funding proposal that pays for both.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SIGNATURE ACHIEVEMENTS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Lead developer of FCHIP, the FairBanks Community Health Intelligence Platform — community screening, referral and follow-up data capture, database, cloud sync and reporting dashboards, delivered across web and mobile.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Designed, built and deployed an AI reception agent for a law firm in Texas, USA — it handles live inbound client calls, books and reschedules appointments, and runs client follow-up. In active production use.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Delivered hospital technology projects in five countries — Uganda, the Democratic Republic of Congo, Kenya, Tanzania and Somaliland — including laboratory, theatre and radiology installations at the hospital serving the Kibali Gold Mine, DR Congo.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Prepared and maintained the biomedical compliance evidence that carried International Hospital Kampala through successful COHSASA accreditation, and cut equipment downtime with a documented preventive maintenance programme.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Upgraded partner health facilities across East and Central Africa for the Gould Family Foundation, including the neonatal intensive care unit at Mama Lucy Kibaki Hospital, Nairobi.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Author of institutional proposals, grant applications and partnership documents for FairBanks Medical Centre; chaired the FairBanks / Uganda Health Partners Cooperative meeting on cooperative health insurance in July 2026.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19"/>
        <w:gridCol w:w="5119"/>
      </w:tblGrid>
      <w:tr>
        <w:tc>
          <w:tcPr>
            <w:tcW w:type="dxa" w:w="2332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Programming languages</w:t>
            </w:r>
          </w:p>
        </w:tc>
        <w:tc>
          <w:tcPr>
            <w:tcW w:type="dxa" w:w="8035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Java  ·  Python  ·  JavaScript  ·  TypeScript  ·  C  ·  C++  ·  C#  ·  PHP  ·  SQL  ·  MATLAB  ·  Arduino C  ·  HTML5  ·  CSS3</w:t>
            </w:r>
          </w:p>
        </w:tc>
      </w:tr>
      <w:tr>
        <w:tc>
          <w:tcPr>
            <w:tcW w:type="dxa" w:w="2332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Web &amp; mobile</w:t>
            </w:r>
          </w:p>
        </w:tc>
        <w:tc>
          <w:tcPr>
            <w:tcW w:type="dxa" w:w="8035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React  ·  Next.js (App Router)  ·  React Native  ·  Expo  ·  Tailwind CSS  ·  styled-components  ·  Bootstrap  ·  JavaFX / FXML  ·  Jest  ·  Playwright</w:t>
            </w:r>
          </w:p>
        </w:tc>
      </w:tr>
      <w:tr>
        <w:tc>
          <w:tcPr>
            <w:tcW w:type="dxa" w:w="2332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Backend &amp; APIs</w:t>
            </w:r>
          </w:p>
        </w:tc>
        <w:tc>
          <w:tcPr>
            <w:tcW w:type="dxa" w:w="8035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Node.js  ·  Express  ·  Laravel  ·  CodeIgniter  ·  Spring / Spring Boot  ·  Convex  ·  Prisma  ·  REST APIs  ·  JWT  ·  role-based access control</w:t>
            </w:r>
          </w:p>
        </w:tc>
      </w:tr>
      <w:tr>
        <w:tc>
          <w:tcPr>
            <w:tcW w:type="dxa" w:w="2332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Databases &amp; data</w:t>
            </w:r>
          </w:p>
        </w:tc>
        <w:tc>
          <w:tcPr>
            <w:tcW w:type="dxa" w:w="8035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MySQL  ·  relational modelling and query optimisation  ·  SQL analytics  ·  data cleaning and reporting  ·  MATLAB modelling  ·  Excel analysis and dashboards</w:t>
            </w:r>
          </w:p>
        </w:tc>
      </w:tr>
      <w:tr>
        <w:tc>
          <w:tcPr>
            <w:tcW w:type="dxa" w:w="2332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Cloud &amp; DevOps</w:t>
            </w:r>
          </w:p>
        </w:tc>
        <w:tc>
          <w:tcPr>
            <w:tcW w:type="dxa" w:w="8035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AWS  ·  Microsoft Azure  ·  Vercel  ·  EAS  ·  Bunny.net CDN  ·  Git and GitHub  ·  CI/CD pipelines  ·  release and environment management</w:t>
            </w:r>
          </w:p>
        </w:tc>
      </w:tr>
      <w:tr>
        <w:tc>
          <w:tcPr>
            <w:tcW w:type="dxa" w:w="2332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AI, agents &amp; automation</w:t>
            </w:r>
          </w:p>
        </w:tc>
        <w:tc>
          <w:tcPr>
            <w:tcW w:type="dxa" w:w="8035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AI agent design, deployment and monitoring  ·  workflow and process automation  ·  third-party systems integration  ·  automated auditing and verification tooling  ·  Cursor  ·  Claude  ·  OpenAI GPT  ·  Codex</w:t>
            </w:r>
          </w:p>
        </w:tc>
      </w:tr>
      <w:tr>
        <w:tc>
          <w:tcPr>
            <w:tcW w:type="dxa" w:w="2332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Operating systems</w:t>
            </w:r>
          </w:p>
        </w:tc>
        <w:tc>
          <w:tcPr>
            <w:tcW w:type="dxa" w:w="8035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Windows  ·  Linux  ·  Android  —  administration, deployment and troubleshooting</w:t>
            </w:r>
          </w:p>
        </w:tc>
      </w:tr>
      <w:tr>
        <w:tc>
          <w:tcPr>
            <w:tcW w:type="dxa" w:w="2332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Engineering &amp; scientific</w:t>
            </w:r>
          </w:p>
        </w:tc>
        <w:tc>
          <w:tcPr>
            <w:tcW w:type="dxa" w:w="8035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Embedded systems design  ·  biosignal processing  ·  medical imaging  ·  biomedical modelling and simulation  ·  bioinformatics and functional genomics  ·  Proteus  ·  Eagle CAD  ·  Solid Edge</w:t>
            </w:r>
          </w:p>
        </w:tc>
      </w:tr>
      <w:tr>
        <w:tc>
          <w:tcPr>
            <w:tcW w:type="dxa" w:w="2332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Documents &amp; productivity</w:t>
            </w:r>
          </w:p>
        </w:tc>
        <w:tc>
          <w:tcPr>
            <w:tcW w:type="dxa" w:w="8035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Microsoft Word  ·  Excel  ·  PowerPoint  ·  technical writing  ·  proposal and grant development  ·  document editing and design  ·  report and dashboard production</w:t>
            </w:r>
          </w:p>
        </w:tc>
      </w:tr>
    </w:tbl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PROFESSIONAL EXPERIENCE</w:t>
      </w:r>
    </w:p>
    <w:p>
      <w:pPr>
        <w:keepNext/>
        <w:tabs>
          <w:tab w:pos="10238" w:val="right"/>
        </w:tabs>
        <w:spacing w:before="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Lead Software Developer — FCHIP and Health Information Systems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2026 – Present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FairBanks Medical Centre Limited, Kampala, Uganda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Lead the design and build of the FairBanks Community Health Intelligence Platform (FCHIP): data capture form design, database structure, cloud data flows, reporting dashboards, and delivery across both web and mobile.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Architect and maintain the hospital and clinic software used daily by clinical and administrative staff, covering patient records, scheduling, referral tracking and management reporting.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Design and deploy AI agents and automation pipelines that remove manual handling from reception, appointment management, client follow-up and routine reporting.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Own technical documentation, data-protection practice, access control and release management across the platform.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Write and edit institutional proposals, grant applications, partnership documents and investment materials; chaired the FairBanks meeting with the Uganda Health Partners Cooperative on cooperative health insurance in July 2026.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Consultant Biomedical Engineer — Independent Practice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Mar 2025 – Present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Contract assignments: Uganda, DR Congo, Kenya, Tanzania, Somaliland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Install, commission, calibrate and maintain hospital medical equipment under contract across five countries, working independently on site and to a fixed handover standard.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Completed laboratory, theatre and radiology installations at several hospitals in the Democratic Republic of Congo, including the facility serving the Kibali Gold Mine.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Train clinical users at handover and produce a written service report and maintenance record for every assignment, so the client keeps a verifiable equipment history.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Handle preventive and corrective maintenance, on-site fault diagnosis and specification advice for procurement.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Biomedical Programs Manager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Aug 2024 – Feb 2025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Gould Family Foundation (GFF) — East and Central Africa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Managed the regional biomedical team, covering programme planning, implementation and reporting across partner health facilities in multiple countries.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Oversaw procurement, installation and commissioning of medical technologies, with programme documentation kept in line with healthcare technology standards.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Developed equipment lifecycle-management and master-planning strategies that were applied across partner facilities.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Led biomedical and clinical user training programmes for engineers, technicians and clinical staff.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Upgraded several facilities, including the neonatal intensive care unit at Mama Lucy Kibaki Hospital, Nairobi.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Biomedical Manager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Jan 2020 – Jan 2024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International Hospital Kampala (IHK)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Managed the biomedical engineering function of a major private hospital for four years, including team supervision, workplans and reporting to executive management.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Led installation and commissioning of CT and X-ray imaging, oxygen plant, laboratory, theatre and ICU systems, through to handover and trained clinical users.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Built the preventive maintenance schedules and service-record systems that reduced equipment downtime and kept devices safe for clinical use.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Coordinated procurement, technical specification, commissioning documentation and lifecycle management of hospital medical equipment.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Prepared and maintained the compliance evidence files reviewed for COHSASA accreditation, supporting the hospital through successful accreditation.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Biomedical Engineer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Apr 2019 – Jan 2020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Norvik Hospital Ltd, Kampala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Maintained and serviced hospital diagnostic and patient-monitoring equipment.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Supported installation and calibration of medical imaging and ICU equipment.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Helped establish preventive maintenance schedules and service follow-up records.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Research Intern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Dec 2018 – Apr 2019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Uganda Virus Research Institute (UVRI)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Contributed to biomedical research projects and laboratory experimentation.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Carried out laboratory data analysis, mathematical modelling and research pipeline design in Python.</w:t>
      </w:r>
    </w:p>
    <w:p>
      <w:pPr>
        <w:keepNext/>
        <w:tabs>
          <w:tab w:pos="10238" w:val="right"/>
        </w:tabs>
        <w:spacing w:before="1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Teaching Assistant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Mar 2016 – Aug 2017</w:t>
      </w:r>
    </w:p>
    <w:p>
      <w:pPr>
        <w:keepNext/>
        <w:spacing w:before="0" w:after="6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Makerere University, College of Health Sciences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Assisted in teaching biomedical engineering course units at undergraduate level.</w:t>
      </w:r>
    </w:p>
    <w:p>
      <w:pPr>
        <w:spacing w:before="0" w:after="50" w:line="254" w:lineRule="auto"/>
        <w:ind w:left="288" w:hanging="230"/>
        <w:jc w:val="both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Supervised and supported laboratory practical sessions for engineering students.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SELECTED PROJECTS AND SYSTEMS DELIVERED</w:t>
      </w:r>
    </w:p>
    <w:p>
      <w:pPr>
        <w:keepNext/>
        <w:tabs>
          <w:tab w:pos="10238" w:val="right"/>
        </w:tabs>
        <w:spacing w:before="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FairBanks Community Health Intelligence Platform (FCHIP)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2026 – present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Lead Software Developer  —  FairBanks Medical Centre Limited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Community, screening, referral and follow-up data capture; database structure; cloud data flows; management dashboards; web and mobile delivery. Built with Next.js, TypeScript, React Native and cloud data services.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AI reception agent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2025 – present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Designer and Developer  —  Law firm, Texas, USA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Built and deployed an AI agent that answers live inbound client calls, books and reschedules appointments, and runs post-contact client follow-up. In active production use.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Hospital equipment installation and commissioning programme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2020 – 2024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Biomedical Manager  —  International Hospital Kampala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CT, X-ray, oxygen plant, laboratory, theatre and ICU systems. Led installation, commissioning and handover, with preventive maintenance and service documentation that cut downtime.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COHSASA hospital accreditation programme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2020 – 2024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Biomedical Manager  —  International Hospital Kampala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Maintained equipment, maintenance and compliance evidence to accreditation standard and supported the hospital through successful accreditation.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Shulekeeper school information system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2021 – 2024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Assistant Software Developer  —  Shulekeeper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Multi-user records and reporting platform built with React and Next.js, TypeScript, Laravel, MySQL and AWS. Contributed front-end and back-end work, third-party integrations, testing, user training and documentation.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Endoscopy image capture and reporting software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2017 – 2019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Lead Software Developer  —  St. Catherine Hospital and St. Francis Hospital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Clinical image capture and procedure reporting system in JavaFX and MySQL. Led algorithm design, relational modelling, legacy data migration, on-site installation, user training and the user manual.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Wekebere foetal heart-rate monitoring system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2017 – 2024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Electronics Developer and Programmer  —  Wekebere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Android and Arduino monitoring system for third-trimester foetal heart-rate measurement, with Java serial communication between device and phone and Microsoft Azure cloud storage.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PROFESSIONAL COMPETENCIES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19"/>
        <w:gridCol w:w="5119"/>
      </w:tblGrid>
      <w:tr>
        <w:tc>
          <w:tcPr>
            <w:tcW w:type="dxa" w:w="2951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Programme and project management</w:t>
            </w:r>
          </w:p>
        </w:tc>
        <w:tc>
          <w:tcPr>
            <w:tcW w:type="dxa" w:w="7416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Managed a regional biomedical team across East and Central Africa and a hospital biomedical function for four years: workplans, schedules, procurement coordination and management reporting.</w:t>
            </w:r>
          </w:p>
        </w:tc>
      </w:tr>
      <w:tr>
        <w:tc>
          <w:tcPr>
            <w:tcW w:type="dxa" w:w="2951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Monitoring, evaluation and data</w:t>
            </w:r>
          </w:p>
        </w:tc>
        <w:tc>
          <w:tcPr>
            <w:tcW w:type="dxa" w:w="7416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Leads the FCHIP indicator, data-quality, dashboard and reporting build. Built equipment registers, maintenance schedules and routine management reports. Analysis in Python, SQL, Java, JavaScript and MATLAB.</w:t>
            </w:r>
          </w:p>
        </w:tc>
      </w:tr>
      <w:tr>
        <w:tc>
          <w:tcPr>
            <w:tcW w:type="dxa" w:w="2951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Proposal, grant and technical writing</w:t>
            </w:r>
          </w:p>
        </w:tc>
        <w:tc>
          <w:tcPr>
            <w:tcW w:type="dxa" w:w="7416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Writes and edits institutional proposals, grant applications, investment materials, partnership documents, technical documentation and user manuals.</w:t>
            </w:r>
          </w:p>
        </w:tc>
      </w:tr>
      <w:tr>
        <w:tc>
          <w:tcPr>
            <w:tcW w:type="dxa" w:w="2951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Data analysis and automated auditing</w:t>
            </w:r>
          </w:p>
        </w:tc>
        <w:tc>
          <w:tcPr>
            <w:tcW w:type="dxa" w:w="7416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Cleans, models and reports on operational and clinical data; builds automated auditing and verification tooling to check records at scale rather than by hand.</w:t>
            </w:r>
          </w:p>
        </w:tc>
      </w:tr>
      <w:tr>
        <w:tc>
          <w:tcPr>
            <w:tcW w:type="dxa" w:w="2951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Procurement, specification and compliance</w:t>
            </w:r>
          </w:p>
        </w:tc>
        <w:tc>
          <w:tcPr>
            <w:tcW w:type="dxa" w:w="7416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Coordinated specification, procurement, commissioning and lifecycle documentation, and kept the compliance evidence reviewed for COHSASA accreditation.</w:t>
            </w:r>
          </w:p>
        </w:tc>
      </w:tr>
      <w:tr>
        <w:tc>
          <w:tcPr>
            <w:tcW w:type="dxa" w:w="2951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Stakeholder and partnership management</w:t>
            </w:r>
          </w:p>
        </w:tc>
        <w:tc>
          <w:tcPr>
            <w:tcW w:type="dxa" w:w="7416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Chairs partner meetings and writes them up; works with hospital departments, suppliers, trainees, accreditation assessors, donors and prospective partners.</w:t>
            </w:r>
          </w:p>
        </w:tc>
      </w:tr>
      <w:tr>
        <w:tc>
          <w:tcPr>
            <w:tcW w:type="dxa" w:w="2951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Training and capacity building</w:t>
            </w:r>
          </w:p>
        </w:tc>
        <w:tc>
          <w:tcPr>
            <w:tcW w:type="dxa" w:w="7416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Trained biomedical engineers, technicians and clinical users across multiple facilities, and taught undergraduate engineering laboratory practicals at Makerere University.</w:t>
            </w:r>
          </w:p>
        </w:tc>
      </w:tr>
      <w:tr>
        <w:tc>
          <w:tcPr>
            <w:tcW w:type="dxa" w:w="2951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Communication and adaptability</w:t>
            </w:r>
          </w:p>
        </w:tc>
        <w:tc>
          <w:tcPr>
            <w:tcW w:type="dxa" w:w="7416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Clear written and spoken English, comfortable presenting to clinical, executive and donor audiences; settles quickly into new countries, teams, codebases and equipment brands.</w:t>
            </w:r>
          </w:p>
        </w:tc>
      </w:tr>
    </w:tbl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MEDICAL EQUIPMENT AND CLINICAL TECHNOLOGY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19"/>
        <w:gridCol w:w="5119"/>
      </w:tblGrid>
      <w:tr>
        <w:tc>
          <w:tcPr>
            <w:tcW w:type="dxa" w:w="2476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Radiology and imaging</w:t>
            </w:r>
          </w:p>
        </w:tc>
        <w:tc>
          <w:tcPr>
            <w:tcW w:type="dxa" w:w="7891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CT scanners  ·  X-ray machines  ·  ultrasound systems  ·  C-arms</w:t>
            </w:r>
          </w:p>
        </w:tc>
      </w:tr>
      <w:tr>
        <w:tc>
          <w:tcPr>
            <w:tcW w:type="dxa" w:w="2476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Theatre and intensive care</w:t>
            </w:r>
          </w:p>
        </w:tc>
        <w:tc>
          <w:tcPr>
            <w:tcW w:type="dxa" w:w="7891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Theatre systems  ·  ventilators  ·  patient monitors  ·  infusion pumps  ·  critical-care devices</w:t>
            </w:r>
          </w:p>
        </w:tc>
      </w:tr>
      <w:tr>
        <w:tc>
          <w:tcPr>
            <w:tcW w:type="dxa" w:w="2476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Laboratory</w:t>
            </w:r>
          </w:p>
        </w:tc>
        <w:tc>
          <w:tcPr>
            <w:tcW w:type="dxa" w:w="7891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Haematology analysers  ·  clinical chemistry analysers  ·  blood bank and transfusion equipment</w:t>
            </w:r>
          </w:p>
        </w:tc>
      </w:tr>
      <w:tr>
        <w:tc>
          <w:tcPr>
            <w:tcW w:type="dxa" w:w="2476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Maternity and neonatal</w:t>
            </w:r>
          </w:p>
        </w:tc>
        <w:tc>
          <w:tcPr>
            <w:tcW w:type="dxa" w:w="7891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Neonatal incubators  ·  phototherapy units  ·  foetal Dopplers  ·  CTG machines</w:t>
            </w:r>
          </w:p>
        </w:tc>
      </w:tr>
      <w:tr>
        <w:tc>
          <w:tcPr>
            <w:tcW w:type="dxa" w:w="2476"/>
            <w:shd w:val="clear" w:color="auto" w:fill="F2F5F8"/>
          </w:tcPr>
          <w:p>
            <w:pPr>
              <w:spacing w:before="60" w:after="60" w:line="245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Support plant</w:t>
            </w:r>
          </w:p>
        </w:tc>
        <w:tc>
          <w:tcPr>
            <w:tcW w:type="dxa" w:w="7891"/>
            <w:shd w:val="clear" w:color="auto" w:fill="F2F5F8"/>
          </w:tcPr>
          <w:p>
            <w:pPr>
              <w:spacing w:before="60" w:after="60" w:line="254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9"/>
                <w:rFonts w:ascii="Calibri" w:hAnsi="Calibri" w:cs="Calibri"/>
              </w:rPr>
              <w:t>Oxygen plants  ·  RO water treatment systems  ·  medical gas distribution</w:t>
            </w:r>
          </w:p>
        </w:tc>
      </w:tr>
    </w:tbl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EDUCATION</w:t>
      </w:r>
    </w:p>
    <w:p>
      <w:pPr>
        <w:keepNext/>
        <w:tabs>
          <w:tab w:pos="10238" w:val="right"/>
        </w:tabs>
        <w:spacing w:before="4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Certificate in Leadership and Management in Health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2022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University of Washington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Grade A+. Planning, leadership and management of health programmes.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BSc Biomedical Engineering — Second Upper Honours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2012 – 2017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Makerere University, Kampala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Key course units: Information and Communication Technology, Computer OOP Principles, Software Engineering, Database Systems, Computer-Based Medical Systems, Embedded Systems, Biosignal Processing and Analysis, Medical Imaging, Biomedical Modelling and Simulation, Bioinformatics and Functional Genomics, Clinical Engineering, Research Methods, Principles of Management.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Advanced Java Programming — Level 1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2015 – 2016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Green Bridge School of Open Technologies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Grade A+.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Uganda Advanced Certificate of Education (UACE)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2011</w:t>
      </w:r>
    </w:p>
    <w:p>
      <w:pPr>
        <w:keepNext/>
        <w:spacing w:before="0" w:after="4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Mengo Secondary School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8"/>
          <w:rFonts w:ascii="Calibri" w:hAnsi="Calibri" w:cs="Calibri"/>
        </w:rPr>
        <w:t>Principal subjects: Mathematics, Physics, Biology, Chemistry.</w:t>
      </w:r>
    </w:p>
    <w:p>
      <w:pPr>
        <w:keepNext/>
        <w:tabs>
          <w:tab w:pos="10238" w:val="right"/>
        </w:tabs>
        <w:spacing w:before="120" w:after="0" w:line="254" w:lineRule="auto"/>
      </w:pPr>
      <w:r>
        <w:rPr>
          <w:rFonts w:ascii="Calibri" w:hAnsi="Calibri"/>
          <w:b/>
          <w:i w:val="0"/>
          <w:color w:val="0F2C4C"/>
          <w:sz w:val="20"/>
          <w:rFonts w:ascii="Calibri" w:hAnsi="Calibri" w:cs="Calibri"/>
        </w:rPr>
        <w:t>Uganda Certificate of Education (UCE)</w:t>
      </w:r>
      <w:r>
        <w:rPr>
          <w:rFonts w:ascii="Calibri" w:hAnsi="Calibri"/>
          <w:b/>
          <w:i w:val="0"/>
          <w:color w:val="1A6B5C"/>
          <w:sz w:val="18"/>
          <w:rFonts w:ascii="Calibri" w:hAnsi="Calibri" w:cs="Calibri"/>
        </w:rPr>
        <w:tab/>
        <w:t>2009</w:t>
      </w:r>
    </w:p>
    <w:p>
      <w:pPr>
        <w:keepNext/>
        <w:spacing w:before="0" w:after="0" w:line="254" w:lineRule="auto"/>
      </w:pPr>
      <w:r>
        <w:rPr>
          <w:rFonts w:ascii="Calibri" w:hAnsi="Calibri"/>
          <w:b w:val="0"/>
          <w:i/>
          <w:color w:val="5A6472"/>
          <w:sz w:val="18"/>
          <w:rFonts w:ascii="Calibri" w:hAnsi="Calibri" w:cs="Calibri"/>
        </w:rPr>
        <w:t>St. John's Wakiso Secondary School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PROFESSIONAL TRAINING AND CERTIFICATION</w:t>
      </w:r>
    </w:p>
    <w:p>
      <w:pPr>
        <w:spacing w:before="0" w:after="60" w:line="254" w:lineRule="auto"/>
        <w:ind w:left="288" w:hanging="230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/>
          <w:i w:val="0"/>
          <w:color w:val="23272B"/>
          <w:sz w:val="19"/>
          <w:rFonts w:ascii="Calibri" w:hAnsi="Calibri" w:cs="Calibri"/>
        </w:rPr>
        <w:t>COHSASA accreditation standards — in-service preparation and compliance</w:t>
      </w:r>
      <w:r>
        <w:rPr>
          <w:rFonts w:ascii="Calibri" w:hAnsi="Calibri"/>
          <w:b w:val="0"/>
          <w:i w:val="0"/>
          <w:color w:val="5A6472"/>
          <w:sz w:val="19"/>
          <w:rFonts w:ascii="Calibri" w:hAnsi="Calibri" w:cs="Calibri"/>
        </w:rPr>
        <w:t xml:space="preserve">  —  International Hospital Kampala, 2020 – 2024</w:t>
      </w:r>
    </w:p>
    <w:p>
      <w:pPr>
        <w:spacing w:before="0" w:after="60" w:line="254" w:lineRule="auto"/>
        <w:ind w:left="288" w:hanging="230"/>
      </w:pPr>
      <w:r>
        <w:rPr>
          <w:rFonts w:ascii="Calibri" w:hAnsi="Calibri"/>
          <w:b/>
          <w:i w:val="0"/>
          <w:color w:val="1A6B5C"/>
          <w:sz w:val="19"/>
          <w:rFonts w:ascii="Calibri" w:hAnsi="Calibri" w:cs="Calibri"/>
        </w:rPr>
        <w:t xml:space="preserve">•   </w:t>
      </w:r>
      <w:r>
        <w:rPr>
          <w:rFonts w:ascii="Calibri" w:hAnsi="Calibri"/>
          <w:b/>
          <w:i w:val="0"/>
          <w:color w:val="23272B"/>
          <w:sz w:val="19"/>
          <w:rFonts w:ascii="Calibri" w:hAnsi="Calibri" w:cs="Calibri"/>
        </w:rPr>
        <w:t>Fire Safety, Prevention, Firefighting and Emergency Scene Management</w:t>
      </w:r>
      <w:r>
        <w:rPr>
          <w:rFonts w:ascii="Calibri" w:hAnsi="Calibri"/>
          <w:b w:val="0"/>
          <w:i w:val="0"/>
          <w:color w:val="5A6472"/>
          <w:sz w:val="19"/>
          <w:rFonts w:ascii="Calibri" w:hAnsi="Calibri" w:cs="Calibri"/>
        </w:rPr>
        <w:t xml:space="preserve">  —  Fire Technologies Limited (IHK), 2021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INTERESTS</w:t>
      </w:r>
    </w:p>
    <w:p>
      <w:pPr>
        <w:spacing w:before="0" w:after="40" w:line="254" w:lineRule="auto"/>
        <w:jc w:val="both"/>
      </w:pPr>
      <w:r>
        <w:rPr>
          <w:rFonts w:ascii="Calibri" w:hAnsi="Calibri"/>
          <w:b w:val="0"/>
          <w:i w:val="0"/>
          <w:color w:val="23272B"/>
          <w:sz w:val="19"/>
          <w:rFonts w:ascii="Calibri" w:hAnsi="Calibri" w:cs="Calibri"/>
        </w:rPr>
        <w:t>Music — plays the saxophone and other instruments.  ·  Film.  ·  Physical fitness and regular exercise.  ·  Travel and working in new environments, which the regional field work has made second nature.</w:t>
      </w:r>
    </w:p>
    <w:p>
      <w:pPr>
        <w:keepNext/>
        <w:spacing w:before="220" w:after="100" w:line="254" w:lineRule="auto"/>
        <w:pBdr>
          <w:bottom w:val="single" w:sz="8" w:space="3" w:color="1A6B5C"/>
        </w:pBdr>
      </w:pPr>
      <w:r>
        <w:rPr>
          <w:rFonts w:ascii="Calibri" w:hAnsi="Calibri"/>
          <w:b/>
          <w:i w:val="0"/>
          <w:color w:val="0F2C4C"/>
          <w:sz w:val="21"/>
          <w:rFonts w:ascii="Calibri" w:hAnsi="Calibri" w:cs="Calibri"/>
          <w:spacing w:val="24"/>
        </w:rPr>
        <w:t>REFEREES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413"/>
        <w:gridCol w:w="3413"/>
        <w:gridCol w:w="3413"/>
      </w:tblGrid>
      <w:tr>
        <w:tc>
          <w:tcPr>
            <w:tcW w:type="dxa" w:w="345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Eng. Richard Ssejongo</w:t>
            </w:r>
          </w:p>
          <w:p>
            <w:pPr>
              <w:spacing w:after="20" w:line="252" w:lineRule="auto"/>
            </w:pPr>
            <w:r>
              <w:rPr>
                <w:rFonts w:ascii="Calibri" w:hAnsi="Calibri"/>
                <w:b w:val="0"/>
                <w:i/>
                <w:color w:val="5A6472"/>
                <w:sz w:val="18"/>
                <w:rFonts w:ascii="Calibri" w:hAnsi="Calibri" w:cs="Calibri"/>
              </w:rPr>
              <w:t>Biomedical Engineer, St. Francis Hospital Nsambya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8"/>
                <w:rFonts w:ascii="Calibri" w:hAnsi="Calibri" w:cs="Calibri"/>
              </w:rPr>
              <w:t>+256 753 818 754  ·  +256 777 132 489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Dr. Annet Khingi</w:t>
            </w:r>
          </w:p>
          <w:p>
            <w:pPr>
              <w:spacing w:after="20" w:line="252" w:lineRule="auto"/>
            </w:pPr>
            <w:r>
              <w:rPr>
                <w:rFonts w:ascii="Calibri" w:hAnsi="Calibri"/>
                <w:b w:val="0"/>
                <w:i/>
                <w:color w:val="5A6472"/>
                <w:sz w:val="18"/>
                <w:rFonts w:ascii="Calibri" w:hAnsi="Calibri" w:cs="Calibri"/>
              </w:rPr>
              <w:t>Senior Radiologist and Administrator, Mengo Hospital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8"/>
                <w:rFonts w:ascii="Calibri" w:hAnsi="Calibri" w:cs="Calibri"/>
              </w:rPr>
              <w:t>+256 772 592 771  ·  +256 701 592 771</w:t>
            </w:r>
          </w:p>
        </w:tc>
        <w:tc>
          <w:tcPr>
            <w:tcW w:type="dxa" w:w="3456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i w:val="0"/>
                <w:color w:val="0F2C4C"/>
                <w:sz w:val="19"/>
                <w:rFonts w:ascii="Calibri" w:hAnsi="Calibri" w:cs="Calibri"/>
              </w:rPr>
              <w:t>Racheal Nabukeera</w:t>
            </w:r>
          </w:p>
          <w:p>
            <w:pPr>
              <w:spacing w:after="20" w:line="252" w:lineRule="auto"/>
            </w:pPr>
            <w:r>
              <w:rPr>
                <w:rFonts w:ascii="Calibri" w:hAnsi="Calibri"/>
                <w:b w:val="0"/>
                <w:i/>
                <w:color w:val="5A6472"/>
                <w:sz w:val="18"/>
                <w:rFonts w:ascii="Calibri" w:hAnsi="Calibri" w:cs="Calibri"/>
              </w:rPr>
              <w:t>Director and Founder, FairBanks Medical Centre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3272B"/>
                <w:sz w:val="18"/>
                <w:rFonts w:ascii="Calibri" w:hAnsi="Calibri" w:cs="Calibri"/>
              </w:rPr>
              <w:t>+256 772 849 258  ·  nracheal017@gmail.com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/>
        <w:b w:val="0"/>
        <w:i w:val="0"/>
        <w:color w:val="5A6472"/>
        <w:sz w:val="16"/>
        <w:rFonts w:ascii="Calibri" w:hAnsi="Calibri" w:cs="Calibri"/>
      </w:rPr>
      <w:t xml:space="preserve">Wasswa Wilson  ·  Curriculum Vitae  ·  </w:t>
    </w:r>
    <w:r>
      <w:rPr>
        <w:rFonts w:ascii="Calibri" w:hAnsi="Calibri"/>
        <w:color w:val="5A6472"/>
        <w:sz w:val="16"/>
      </w:rPr>
      <w:fldChar w:fldCharType="begin"/>
    </w:r>
    <w:r>
      <w:rPr>
        <w:rFonts w:ascii="Calibri" w:hAnsi="Calibri"/>
        <w:color w:val="5A6472"/>
        <w:sz w:val="16"/>
      </w:rPr>
      <w:instrText xml:space="preserve">PAGE</w:instrText>
    </w:r>
    <w:r>
      <w:rPr>
        <w:rFonts w:ascii="Calibri" w:hAnsi="Calibri"/>
        <w:color w:val="5A6472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