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610"/>
        <w:gridCol w:w="5610"/>
      </w:tblGrid>
      <w:tr>
        <w:tc>
          <w:tcPr>
            <w:tcW w:type="dxa" w:w="3061"/>
            <w:shd w:fill="0A3A52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153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53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CONTACT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info@fairbanksmedicalcentre.org | nracheal017@gmail.com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www.fairbanksmedicalcentre.org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STRENGTHS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Strategy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Talent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Workforce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Change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Performance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Employee Relations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Corporate Governance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Leadership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Analytics / HRIS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LANGUAGES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English — Fluent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Luganda — Fluent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MEMBERSHIP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FUE Member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0A3A52"/>
                <w:sz w:val="24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7"/>
              </w:rPr>
              <w:t>Senior Human Resource Executive  ·  Human Capital Strategist  ·  Organisational Development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HIGHLIGHTS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Nearly 30 years in HR and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in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leadership for 2,000+ employees across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performance systems and HR policy.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welfare, labour compliance and staff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EDUCATION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 (Research: Machine learning prediction of occupational burnout among medical practitioners)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TECHNICAL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Microsoft Office  ·  HRIS  ·  ERP  ·  HR Analytics  ·  Performance systems  ·  Executive reporting  ·  AI applications in HR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5"/>
              </w:rPr>
              <w:t>Member, Federation of Uganda Employers (FUE)  ·  English (Fluent)  ·  Luganda (Fluent)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Organisational Behaviour  ·  Occupational Burnout  ·  Employee Wellbeing</w:t>
            </w:r>
          </w:p>
        </w:tc>
      </w:tr>
    </w:tbl>
    <w:sectPr w:rsidR="00FC693F" w:rsidRPr="0006063C" w:rsidSect="00034616">
      <w:pgSz w:w="12240" w:h="15840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